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12B5D" w14:textId="77777777" w:rsidR="009A5C62" w:rsidRPr="000D637A" w:rsidRDefault="009A5C62" w:rsidP="009A5C62">
      <w:pPr>
        <w:jc w:val="center"/>
        <w:rPr>
          <w:b/>
          <w:bCs/>
          <w:sz w:val="28"/>
          <w:szCs w:val="28"/>
        </w:rPr>
      </w:pPr>
      <w:bookmarkStart w:id="0" w:name="_Hlk215085842"/>
      <w:bookmarkEnd w:id="0"/>
      <w:r w:rsidRPr="000D637A">
        <w:rPr>
          <w:b/>
          <w:bCs/>
          <w:sz w:val="28"/>
          <w:szCs w:val="28"/>
        </w:rPr>
        <w:t>Звіт</w:t>
      </w:r>
    </w:p>
    <w:p w14:paraId="11E1B6FA" w14:textId="0C3FF076" w:rsidR="009A5C62" w:rsidRDefault="009A5C62" w:rsidP="009A5C62">
      <w:pPr>
        <w:jc w:val="center"/>
        <w:rPr>
          <w:sz w:val="28"/>
          <w:szCs w:val="28"/>
        </w:rPr>
      </w:pPr>
      <w:r w:rsidRPr="000D637A">
        <w:rPr>
          <w:b/>
          <w:bCs/>
          <w:sz w:val="28"/>
          <w:szCs w:val="28"/>
        </w:rPr>
        <w:t>про результати опитування здобувачів освіти у ВСП «Охтирський фаховий коледж СНАУ»» щодо розуміння структури та змісту освітньо-професійної програми «</w:t>
      </w:r>
      <w:r>
        <w:rPr>
          <w:b/>
          <w:bCs/>
          <w:sz w:val="28"/>
          <w:szCs w:val="28"/>
        </w:rPr>
        <w:t>Монтаж, обслуговування устаткування і систем газопостачання»</w:t>
      </w:r>
    </w:p>
    <w:p w14:paraId="1B35503E" w14:textId="77777777" w:rsidR="009A5C62" w:rsidRPr="00156E28" w:rsidRDefault="009A5C62" w:rsidP="009A5C62">
      <w:pPr>
        <w:ind w:firstLine="709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bookmarkStart w:id="1" w:name="_Hlk215088233"/>
      <w:r w:rsidRPr="00156E28">
        <w:rPr>
          <w:sz w:val="28"/>
          <w:szCs w:val="28"/>
        </w:rPr>
        <w:t>Опитування здобувачів освіти проводилося з метою встановлення ступеня розуміння Критерію</w:t>
      </w:r>
      <w:r>
        <w:rPr>
          <w:sz w:val="28"/>
          <w:szCs w:val="28"/>
        </w:rPr>
        <w:t xml:space="preserve"> </w:t>
      </w:r>
      <w:bookmarkEnd w:id="1"/>
      <w:r w:rsidRPr="00156E28">
        <w:rPr>
          <w:sz w:val="28"/>
          <w:szCs w:val="28"/>
        </w:rPr>
        <w:t>: «</w:t>
      </w: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>Організація прийому на навчання за освітньо-професійною програмою та визнання результатів навчання, отриманих в інших закладах освіти»</w:t>
      </w:r>
    </w:p>
    <w:p w14:paraId="67540F92" w14:textId="77777777" w:rsidR="009A5C62" w:rsidRDefault="009A5C62" w:rsidP="009A5C62">
      <w:pPr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Мета опитування: </w:t>
      </w:r>
    </w:p>
    <w:p w14:paraId="1EE644F5" w14:textId="77777777" w:rsidR="009A5C62" w:rsidRPr="00156E28" w:rsidRDefault="009A5C62" w:rsidP="009A5C62">
      <w:pPr>
        <w:pStyle w:val="a9"/>
        <w:numPr>
          <w:ilvl w:val="0"/>
          <w:numId w:val="39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156E28">
        <w:rPr>
          <w:rFonts w:eastAsia="Times New Roman"/>
          <w:kern w:val="0"/>
          <w:sz w:val="28"/>
          <w:szCs w:val="28"/>
          <w:lang w:eastAsia="uk-UA"/>
          <w14:ligatures w14:val="none"/>
        </w:rPr>
        <w:t>Оцінити рівень поінформованості здобувачів освіти щодо правил, процедур і умов вступу на освітньо-професійну програму.</w:t>
      </w:r>
    </w:p>
    <w:p w14:paraId="02F03A95" w14:textId="77777777" w:rsidR="009A5C62" w:rsidRPr="006B01D5" w:rsidRDefault="009A5C62" w:rsidP="009A5C62">
      <w:pPr>
        <w:numPr>
          <w:ilvl w:val="0"/>
          <w:numId w:val="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З'ясувати ефективність роботи приймальної комісії та доступність інформації про вступ для абітурієнтів.</w:t>
      </w:r>
    </w:p>
    <w:p w14:paraId="550415DB" w14:textId="77777777" w:rsidR="009A5C62" w:rsidRPr="006B01D5" w:rsidRDefault="009A5C62" w:rsidP="009A5C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Визначити, наскільки студентам зрозумілі вимоги до попередньої освіти, порядок подання документів і критерії зарахування.</w:t>
      </w:r>
    </w:p>
    <w:p w14:paraId="18C76774" w14:textId="77777777" w:rsidR="009A5C62" w:rsidRPr="006B01D5" w:rsidRDefault="009A5C62" w:rsidP="009A5C62">
      <w:pPr>
        <w:numPr>
          <w:ilvl w:val="0"/>
          <w:numId w:val="1"/>
        </w:num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Виявити обізнаність студентів щодо можливостей академічної мобільності (здобуття частини програми в іншому ЗВО) та визнання результатів неформальної освіти.</w:t>
      </w:r>
    </w:p>
    <w:p w14:paraId="34D87F0B" w14:textId="77777777" w:rsidR="009A5C62" w:rsidRPr="006B01D5" w:rsidRDefault="009A5C62" w:rsidP="009A5C62">
      <w:pPr>
        <w:numPr>
          <w:ilvl w:val="0"/>
          <w:numId w:val="1"/>
        </w:numPr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6B01D5">
        <w:rPr>
          <w:rFonts w:eastAsia="Times New Roman"/>
          <w:kern w:val="0"/>
          <w:sz w:val="28"/>
          <w:szCs w:val="28"/>
          <w:lang w:eastAsia="uk-UA"/>
          <w14:ligatures w14:val="none"/>
        </w:rPr>
        <w:t>Перевірити рівень ознайомлення здобувачів освіти з процедурою відрахування, її прозорістю та доступністю для розуміння.</w:t>
      </w:r>
    </w:p>
    <w:p w14:paraId="708EA1C9" w14:textId="77777777" w:rsidR="009A5C62" w:rsidRDefault="009A5C62" w:rsidP="009A5C62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Інструментарій дослідження: анкета надавалась через сервіс Google для здобувачів освіти. </w:t>
      </w:r>
    </w:p>
    <w:p w14:paraId="2AE17F3A" w14:textId="4AA5E4A0" w:rsidR="009A5C62" w:rsidRPr="00F15410" w:rsidRDefault="009A5C62" w:rsidP="009A5C62">
      <w:pPr>
        <w:ind w:firstLine="709"/>
        <w:jc w:val="both"/>
        <w:rPr>
          <w:sz w:val="28"/>
          <w:szCs w:val="28"/>
        </w:rPr>
      </w:pPr>
      <w:r w:rsidRPr="00F15410">
        <w:rPr>
          <w:sz w:val="28"/>
          <w:szCs w:val="28"/>
        </w:rPr>
        <w:t xml:space="preserve">Для проведення опитування була розроблена та затверджена у встановленому порядку анкета, яка охоплювала важливі для формування загальної оцінки блоки питань. </w:t>
      </w:r>
      <w:r>
        <w:rPr>
          <w:sz w:val="28"/>
          <w:szCs w:val="28"/>
        </w:rPr>
        <w:t>Брало участь 38 осіб</w:t>
      </w:r>
    </w:p>
    <w:p w14:paraId="33B716BD" w14:textId="44A9550D" w:rsidR="0072667C" w:rsidRPr="0072667C" w:rsidRDefault="009A5C62" w:rsidP="0072667C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A693EE6" wp14:editId="7A51158A">
            <wp:simplePos x="0" y="0"/>
            <wp:positionH relativeFrom="page">
              <wp:align>center</wp:align>
            </wp:positionH>
            <wp:positionV relativeFrom="paragraph">
              <wp:posOffset>156210</wp:posOffset>
            </wp:positionV>
            <wp:extent cx="4168140" cy="2578856"/>
            <wp:effectExtent l="0" t="0" r="3810" b="0"/>
            <wp:wrapTight wrapText="bothSides">
              <wp:wrapPolygon edited="0">
                <wp:start x="0" y="0"/>
                <wp:lineTo x="0" y="21382"/>
                <wp:lineTo x="21521" y="21382"/>
                <wp:lineTo x="21521" y="0"/>
                <wp:lineTo x="0" y="0"/>
              </wp:wrapPolygon>
            </wp:wrapTight>
            <wp:docPr id="68709884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8140" cy="2578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91AB168" w14:textId="3566D294" w:rsidR="0072667C" w:rsidRPr="0072667C" w:rsidRDefault="0072667C" w:rsidP="0072667C">
      <w:pPr>
        <w:rPr>
          <w:rFonts w:eastAsia="Times New Roman"/>
          <w:kern w:val="0"/>
          <w:sz w:val="24"/>
          <w:szCs w:val="24"/>
          <w:lang w:eastAsia="uk-UA"/>
          <w14:ligatures w14:val="none"/>
        </w:rPr>
      </w:pPr>
    </w:p>
    <w:p w14:paraId="77336E7A" w14:textId="77777777" w:rsidR="00C867A1" w:rsidRPr="00FB35D0" w:rsidRDefault="00C867A1" w:rsidP="00FB35D0">
      <w:pPr>
        <w:spacing w:before="100" w:beforeAutospacing="1" w:after="100" w:afterAutospacing="1"/>
        <w:jc w:val="both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3CB3BE39" w14:textId="77777777" w:rsidR="00BC1EEB" w:rsidRDefault="00FB35D0" w:rsidP="00CB62FC">
      <w:pPr>
        <w:ind w:firstLine="709"/>
        <w:jc w:val="both"/>
        <w:outlineLvl w:val="1"/>
        <w:rPr>
          <w:rFonts w:eastAsia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FB35D0">
        <w:rPr>
          <w:rFonts w:eastAsia="Times New Roman"/>
          <w:b/>
          <w:bCs/>
          <w:kern w:val="0"/>
          <w:sz w:val="36"/>
          <w:szCs w:val="36"/>
          <w:lang w:eastAsia="uk-UA"/>
          <w14:ligatures w14:val="none"/>
        </w:rPr>
        <w:t xml:space="preserve"> </w:t>
      </w:r>
    </w:p>
    <w:p w14:paraId="3BFD3BDA" w14:textId="77777777" w:rsidR="00BC1EEB" w:rsidRDefault="00BC1EEB" w:rsidP="00CB62FC">
      <w:pPr>
        <w:ind w:firstLine="709"/>
        <w:jc w:val="both"/>
        <w:outlineLvl w:val="1"/>
        <w:rPr>
          <w:rFonts w:eastAsia="Times New Roman"/>
          <w:b/>
          <w:bCs/>
          <w:kern w:val="0"/>
          <w:sz w:val="36"/>
          <w:szCs w:val="36"/>
          <w:lang w:eastAsia="uk-UA"/>
          <w14:ligatures w14:val="none"/>
        </w:rPr>
      </w:pPr>
    </w:p>
    <w:p w14:paraId="7E7C70B5" w14:textId="569562D4" w:rsidR="00CB62FC" w:rsidRDefault="00CB62FC" w:rsidP="00CB62FC">
      <w:pPr>
        <w:ind w:firstLine="709"/>
        <w:jc w:val="both"/>
        <w:outlineLvl w:val="1"/>
        <w:rPr>
          <w:rFonts w:eastAsia="Times New Roman"/>
          <w:b/>
          <w:bCs/>
          <w:kern w:val="0"/>
          <w:sz w:val="36"/>
          <w:szCs w:val="36"/>
          <w:lang w:eastAsia="uk-UA"/>
          <w14:ligatures w14:val="none"/>
        </w:rPr>
      </w:pPr>
      <w:r w:rsidRPr="007C17AC">
        <w:rPr>
          <w:rFonts w:eastAsia="Times New Roman"/>
          <w:kern w:val="0"/>
          <w:sz w:val="28"/>
          <w:szCs w:val="28"/>
          <w:lang w:eastAsia="uk-UA"/>
          <w14:ligatures w14:val="none"/>
        </w:rPr>
        <w:t>Відповіді на запитання №1 свідчать про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те, що </w:t>
      </w:r>
      <w:r w:rsidRPr="00CB62FC">
        <w:rPr>
          <w:rFonts w:eastAsia="Times New Roman"/>
          <w:kern w:val="0"/>
          <w:sz w:val="28"/>
          <w:szCs w:val="28"/>
          <w:lang w:eastAsia="uk-UA"/>
          <w14:ligatures w14:val="none"/>
        </w:rPr>
        <w:t>95% (36 осіб)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проінформована. </w:t>
      </w:r>
      <w:r w:rsidRPr="00CB62F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Інформація на сайті доступна майже для всіх. Лише 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2</w:t>
      </w:r>
      <w:r w:rsidRPr="00CB62F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особ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и</w:t>
      </w:r>
      <w:r w:rsidRPr="00CB62F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не змогл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и</w:t>
      </w:r>
      <w:r w:rsidRPr="00CB62F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знайти потрібні дані — потребує точкового уточнення структури подачі.</w:t>
      </w:r>
    </w:p>
    <w:p w14:paraId="183C8686" w14:textId="77777777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lastRenderedPageBreak/>
        <w:drawing>
          <wp:inline distT="0" distB="0" distL="0" distR="0" wp14:anchorId="612B2401" wp14:editId="4F1135C5">
            <wp:extent cx="4164965" cy="2576891"/>
            <wp:effectExtent l="0" t="0" r="6985" b="0"/>
            <wp:docPr id="119246467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7461" cy="257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1F0EA2" w14:textId="3D4EEF3B" w:rsidR="00CB62FC" w:rsidRPr="00EC3477" w:rsidRDefault="00CB62FC" w:rsidP="00C013B3">
      <w:pPr>
        <w:ind w:firstLine="709"/>
        <w:jc w:val="both"/>
        <w:outlineLvl w:val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2" w:name="_Hlk222260368"/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</w:t>
      </w:r>
      <w:r w:rsidRPr="007C17A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на запитання №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>2</w:t>
      </w:r>
      <w:r w:rsidRPr="007C17A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bookmarkEnd w:id="2"/>
      <w:r w:rsidRPr="007C17A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свідчать </w:t>
      </w:r>
      <w:r w:rsidRPr="00EC347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про </w:t>
      </w:r>
      <w:r w:rsidRPr="00EC3477">
        <w:rPr>
          <w:color w:val="0D0D0D"/>
          <w:sz w:val="28"/>
          <w:szCs w:val="28"/>
          <w:shd w:val="clear" w:color="auto" w:fill="FFFFFF"/>
        </w:rPr>
        <w:t>повну інформованість від приймальної комісії — високий рівень підтримки вступників.</w:t>
      </w:r>
    </w:p>
    <w:p w14:paraId="6B445FAB" w14:textId="7469CAFC" w:rsidR="00CB62FC" w:rsidRPr="00BC1EEB" w:rsidRDefault="00BC1EEB" w:rsidP="00C013B3">
      <w:pPr>
        <w:ind w:firstLine="709"/>
        <w:jc w:val="both"/>
        <w:outlineLvl w:val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bookmarkStart w:id="3" w:name="_Hlk222259993"/>
      <w:r>
        <w:rPr>
          <w:noProof/>
        </w:rPr>
        <w:drawing>
          <wp:inline distT="0" distB="0" distL="0" distR="0" wp14:anchorId="199D0E86" wp14:editId="2F7044E1">
            <wp:extent cx="4835525" cy="2991771"/>
            <wp:effectExtent l="0" t="0" r="3175" b="0"/>
            <wp:docPr id="44811452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0214" cy="29946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B62FC" w:rsidRPr="00BC1EE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Відповіді на запитання №3 свідчать про те, що  </w:t>
      </w:r>
      <w:bookmarkEnd w:id="3"/>
      <w:r w:rsidR="00CB62FC" w:rsidRPr="00BC1EEB">
        <w:rPr>
          <w:sz w:val="28"/>
          <w:szCs w:val="28"/>
          <w:shd w:val="clear" w:color="auto" w:fill="FFFFFF"/>
        </w:rPr>
        <w:t>97% опитаних ознайомлені з процедурою подання документів. Лише 1 студент відповів –«ні».</w:t>
      </w:r>
    </w:p>
    <w:p w14:paraId="7D07E8C0" w14:textId="77777777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inline distT="0" distB="0" distL="0" distR="0" wp14:anchorId="4C0AE9C5" wp14:editId="0F1EE628">
            <wp:extent cx="4545965" cy="2812618"/>
            <wp:effectExtent l="0" t="0" r="6985" b="6985"/>
            <wp:docPr id="161145986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028" cy="28145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F51600" w14:textId="52B89AFE" w:rsidR="00CB62FC" w:rsidRPr="00BC1EEB" w:rsidRDefault="00CB62FC" w:rsidP="00C013B3">
      <w:pPr>
        <w:ind w:firstLine="709"/>
        <w:jc w:val="both"/>
        <w:outlineLvl w:val="1"/>
        <w:rPr>
          <w:rFonts w:eastAsia="Times New Roman"/>
          <w:b/>
          <w:bCs/>
          <w:kern w:val="0"/>
          <w:sz w:val="28"/>
          <w:szCs w:val="28"/>
          <w:lang w:eastAsia="uk-UA"/>
          <w14:ligatures w14:val="none"/>
        </w:rPr>
      </w:pPr>
      <w:r w:rsidRPr="00BC1EEB">
        <w:rPr>
          <w:rFonts w:eastAsia="Times New Roman"/>
          <w:kern w:val="0"/>
          <w:sz w:val="28"/>
          <w:szCs w:val="28"/>
          <w:lang w:eastAsia="uk-UA"/>
          <w14:ligatures w14:val="none"/>
        </w:rPr>
        <w:lastRenderedPageBreak/>
        <w:t>Відповіді на запитання №4 свідчать про те, що м</w:t>
      </w:r>
      <w:r w:rsidRPr="00BC1EEB">
        <w:rPr>
          <w:color w:val="0D0D0D"/>
          <w:sz w:val="28"/>
          <w:szCs w:val="28"/>
          <w:shd w:val="clear" w:color="auto" w:fill="FFFFFF"/>
        </w:rPr>
        <w:t xml:space="preserve">айже всі </w:t>
      </w:r>
      <w:r w:rsidR="00EC3477">
        <w:rPr>
          <w:color w:val="0D0D0D"/>
          <w:sz w:val="28"/>
          <w:szCs w:val="28"/>
          <w:shd w:val="clear" w:color="auto" w:fill="FFFFFF"/>
        </w:rPr>
        <w:t>76</w:t>
      </w:r>
      <w:r w:rsidRPr="00BC1EEB">
        <w:rPr>
          <w:color w:val="0D0D0D"/>
          <w:sz w:val="28"/>
          <w:szCs w:val="28"/>
          <w:shd w:val="clear" w:color="auto" w:fill="FFFFFF"/>
        </w:rPr>
        <w:t xml:space="preserve">% знали про вимоги до попередньої освіти. </w:t>
      </w:r>
    </w:p>
    <w:p w14:paraId="310ACCAB" w14:textId="5A957F5A" w:rsidR="00CB62FC" w:rsidRDefault="00BC1EEB" w:rsidP="00C013B3">
      <w:pPr>
        <w:ind w:firstLine="709"/>
        <w:jc w:val="both"/>
        <w:outlineLvl w:val="1"/>
        <w:rPr>
          <w:rFonts w:eastAsia="Times New Roman"/>
          <w:b/>
          <w:bCs/>
          <w:kern w:val="0"/>
          <w:sz w:val="36"/>
          <w:szCs w:val="36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58A60EA" wp14:editId="417138EA">
            <wp:simplePos x="0" y="0"/>
            <wp:positionH relativeFrom="column">
              <wp:posOffset>428625</wp:posOffset>
            </wp:positionH>
            <wp:positionV relativeFrom="paragraph">
              <wp:posOffset>48895</wp:posOffset>
            </wp:positionV>
            <wp:extent cx="3718560" cy="2300605"/>
            <wp:effectExtent l="0" t="0" r="0" b="4445"/>
            <wp:wrapTight wrapText="bothSides">
              <wp:wrapPolygon edited="0">
                <wp:start x="0" y="0"/>
                <wp:lineTo x="0" y="21463"/>
                <wp:lineTo x="21467" y="21463"/>
                <wp:lineTo x="21467" y="0"/>
                <wp:lineTo x="0" y="0"/>
              </wp:wrapPolygon>
            </wp:wrapTight>
            <wp:docPr id="207320799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8560" cy="2300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0DA85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FAE366F" w14:textId="788D1D4B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E10E0D5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1D1B487" w14:textId="221C7DCE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62D36290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837B1F8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9C18C28" w14:textId="2DD139EA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C49A68E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38BBFA4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1900620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E36A11B" w14:textId="77777777" w:rsidR="00BC1EEB" w:rsidRDefault="00BC1EEB" w:rsidP="00BC1EEB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33C76ED" w14:textId="61BC623B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5DE02D2" wp14:editId="3A35EA7B">
            <wp:simplePos x="0" y="0"/>
            <wp:positionH relativeFrom="column">
              <wp:posOffset>405765</wp:posOffset>
            </wp:positionH>
            <wp:positionV relativeFrom="paragraph">
              <wp:posOffset>128905</wp:posOffset>
            </wp:positionV>
            <wp:extent cx="4019127" cy="2486660"/>
            <wp:effectExtent l="0" t="0" r="635" b="8890"/>
            <wp:wrapTight wrapText="bothSides">
              <wp:wrapPolygon edited="0">
                <wp:start x="0" y="0"/>
                <wp:lineTo x="0" y="21512"/>
                <wp:lineTo x="21501" y="21512"/>
                <wp:lineTo x="21501" y="0"/>
                <wp:lineTo x="0" y="0"/>
              </wp:wrapPolygon>
            </wp:wrapTight>
            <wp:docPr id="16598117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127" cy="2486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D758268" w14:textId="77777777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F15D493" w14:textId="4FD9DC22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A9AB5FA" w14:textId="77777777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555EC65" w14:textId="394A376F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C275074" w14:textId="77777777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030E8BA9" w14:textId="195B619C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B58A600" w14:textId="463EF419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5C02771B" w14:textId="31FAF193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A9E5726" w14:textId="3E376AA5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8B506BC" w14:textId="583CA209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116DA26E" w14:textId="027E3AEF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48B8CFD7" w14:textId="0D8E695F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F041DC2" w14:textId="4C45AFDB" w:rsid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Результати відповідей </w:t>
      </w:r>
      <w:r w:rsidRPr="007C17AC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на запитання №</w:t>
      </w:r>
      <w:r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6 свідчать про те, що </w:t>
      </w:r>
      <w:r w:rsidRPr="00BC1EEB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90% (34 особи) знають про цю можливість. </w:t>
      </w:r>
    </w:p>
    <w:p w14:paraId="10D698D9" w14:textId="073F1B16" w:rsidR="00BC1EEB" w:rsidRPr="00BC1EEB" w:rsidRDefault="00BC1EEB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BC1EEB">
        <w:rPr>
          <w:rFonts w:eastAsia="Times New Roman"/>
          <w:kern w:val="0"/>
          <w:sz w:val="28"/>
          <w:szCs w:val="28"/>
          <w:lang w:eastAsia="uk-UA"/>
          <w14:ligatures w14:val="none"/>
        </w:rPr>
        <w:t>Результати відповідей  на запитання №7</w:t>
      </w:r>
      <w:r w:rsidRPr="00BC1EEB">
        <w:rPr>
          <w:color w:val="0D0D0D"/>
          <w:sz w:val="28"/>
          <w:szCs w:val="28"/>
          <w:shd w:val="clear" w:color="auto" w:fill="FFFFFF"/>
        </w:rPr>
        <w:t xml:space="preserve"> показує, що процедура відрахування відома  всім.</w:t>
      </w:r>
    </w:p>
    <w:p w14:paraId="6571D051" w14:textId="13B269A4" w:rsidR="00031947" w:rsidRDefault="00FB35D0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  <w:r w:rsidRPr="00FB35D0">
        <w:rPr>
          <w:rFonts w:eastAsia="Times New Roman"/>
          <w:kern w:val="0"/>
          <w:sz w:val="28"/>
          <w:szCs w:val="28"/>
          <w:lang w:eastAsia="uk-UA"/>
          <w14:ligatures w14:val="none"/>
        </w:rPr>
        <w:t>Анкетування показало, що процес вступу, інформування та комунікації організовано на високому рівні. Основні процедури зрозумілі більшості студентів.</w:t>
      </w:r>
      <w:r w:rsidR="00031947">
        <w:rPr>
          <w:rFonts w:eastAsia="Times New Roman"/>
          <w:kern w:val="0"/>
          <w:sz w:val="28"/>
          <w:szCs w:val="28"/>
          <w:lang w:eastAsia="uk-UA"/>
          <w14:ligatures w14:val="none"/>
        </w:rPr>
        <w:t xml:space="preserve"> </w:t>
      </w:r>
      <w:r w:rsidRPr="00FB35D0">
        <w:rPr>
          <w:rFonts w:eastAsia="Times New Roman"/>
          <w:kern w:val="0"/>
          <w:sz w:val="28"/>
          <w:szCs w:val="28"/>
          <w:lang w:eastAsia="uk-UA"/>
          <w14:ligatures w14:val="none"/>
        </w:rPr>
        <w:t>Окремі аспекти, такі як академічна мобільність, визнання неформальної освіти та відрахування, потребують додаткового пояснення через доступні канали комунікації (сайт, інформаційні буклети, презентації на кураторських годинах).</w:t>
      </w:r>
    </w:p>
    <w:p w14:paraId="589F2ED5" w14:textId="09B482A4" w:rsidR="00CB62FC" w:rsidRDefault="00CB62FC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52C14AA" w14:textId="6815A900" w:rsidR="00CB62FC" w:rsidRDefault="00CB62FC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3F03C02" w14:textId="6A986BBB" w:rsidR="00CB62FC" w:rsidRDefault="00CB62FC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7EC4F48C" w14:textId="34DD4B05" w:rsidR="00CB62FC" w:rsidRDefault="00CB62FC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p w14:paraId="2AF5EC19" w14:textId="6651E9A8" w:rsidR="00CB62FC" w:rsidRPr="00031947" w:rsidRDefault="00CB62FC" w:rsidP="00C013B3">
      <w:pPr>
        <w:ind w:firstLine="709"/>
        <w:jc w:val="both"/>
        <w:outlineLvl w:val="1"/>
        <w:rPr>
          <w:rFonts w:eastAsia="Times New Roman"/>
          <w:kern w:val="0"/>
          <w:sz w:val="28"/>
          <w:szCs w:val="28"/>
          <w:lang w:eastAsia="uk-UA"/>
          <w14:ligatures w14:val="none"/>
        </w:rPr>
      </w:pPr>
    </w:p>
    <w:sectPr w:rsidR="00CB62FC" w:rsidRPr="00031947" w:rsidSect="00676E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2962"/>
    <w:multiLevelType w:val="hybridMultilevel"/>
    <w:tmpl w:val="EA06A0AA"/>
    <w:lvl w:ilvl="0" w:tplc="BD6C730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2344D"/>
    <w:multiLevelType w:val="multilevel"/>
    <w:tmpl w:val="6EBA3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411FF"/>
    <w:multiLevelType w:val="multilevel"/>
    <w:tmpl w:val="49189D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EB91037"/>
    <w:multiLevelType w:val="multilevel"/>
    <w:tmpl w:val="86D40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817ADF"/>
    <w:multiLevelType w:val="multilevel"/>
    <w:tmpl w:val="1CA09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140E48"/>
    <w:multiLevelType w:val="multilevel"/>
    <w:tmpl w:val="038C5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BA61C8"/>
    <w:multiLevelType w:val="multilevel"/>
    <w:tmpl w:val="1A105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6055B2"/>
    <w:multiLevelType w:val="multilevel"/>
    <w:tmpl w:val="95C8A0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D46F98"/>
    <w:multiLevelType w:val="multilevel"/>
    <w:tmpl w:val="CDF6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C64751"/>
    <w:multiLevelType w:val="multilevel"/>
    <w:tmpl w:val="5C28F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ED036FE"/>
    <w:multiLevelType w:val="multilevel"/>
    <w:tmpl w:val="D1CC2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D63478"/>
    <w:multiLevelType w:val="multilevel"/>
    <w:tmpl w:val="21B45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11087F"/>
    <w:multiLevelType w:val="multilevel"/>
    <w:tmpl w:val="6486F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1621AC"/>
    <w:multiLevelType w:val="multilevel"/>
    <w:tmpl w:val="F5288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2833D1"/>
    <w:multiLevelType w:val="multilevel"/>
    <w:tmpl w:val="52B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541998"/>
    <w:multiLevelType w:val="hybridMultilevel"/>
    <w:tmpl w:val="5450F4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9C4DA6"/>
    <w:multiLevelType w:val="hybridMultilevel"/>
    <w:tmpl w:val="3022E62A"/>
    <w:lvl w:ilvl="0" w:tplc="187E23B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7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003CA1"/>
    <w:multiLevelType w:val="multilevel"/>
    <w:tmpl w:val="596E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19F5AF7"/>
    <w:multiLevelType w:val="multilevel"/>
    <w:tmpl w:val="EB747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220897"/>
    <w:multiLevelType w:val="multilevel"/>
    <w:tmpl w:val="4ED6E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3D6E28"/>
    <w:multiLevelType w:val="multilevel"/>
    <w:tmpl w:val="7B388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DC615B"/>
    <w:multiLevelType w:val="multilevel"/>
    <w:tmpl w:val="59021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7694DB6"/>
    <w:multiLevelType w:val="multilevel"/>
    <w:tmpl w:val="04AED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D453C2"/>
    <w:multiLevelType w:val="multilevel"/>
    <w:tmpl w:val="0450C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2C2AD7"/>
    <w:multiLevelType w:val="multilevel"/>
    <w:tmpl w:val="84BA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BEF56ED"/>
    <w:multiLevelType w:val="multilevel"/>
    <w:tmpl w:val="2AE85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DB00E00"/>
    <w:multiLevelType w:val="multilevel"/>
    <w:tmpl w:val="92E4C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27B6D6E"/>
    <w:multiLevelType w:val="multilevel"/>
    <w:tmpl w:val="E0F4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C6008AA"/>
    <w:multiLevelType w:val="multilevel"/>
    <w:tmpl w:val="3B10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EFB196A"/>
    <w:multiLevelType w:val="multilevel"/>
    <w:tmpl w:val="68FC0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3FF0BE2"/>
    <w:multiLevelType w:val="multilevel"/>
    <w:tmpl w:val="3F2E1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4B7071"/>
    <w:multiLevelType w:val="multilevel"/>
    <w:tmpl w:val="C8AAD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6D28DD"/>
    <w:multiLevelType w:val="multilevel"/>
    <w:tmpl w:val="E3141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E09248B"/>
    <w:multiLevelType w:val="multilevel"/>
    <w:tmpl w:val="20C4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2587768"/>
    <w:multiLevelType w:val="multilevel"/>
    <w:tmpl w:val="27F08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34160FC"/>
    <w:multiLevelType w:val="hybridMultilevel"/>
    <w:tmpl w:val="1194A75C"/>
    <w:lvl w:ilvl="0" w:tplc="0CC68BF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E5F83"/>
    <w:multiLevelType w:val="hybridMultilevel"/>
    <w:tmpl w:val="E1421D44"/>
    <w:lvl w:ilvl="0" w:tplc="1D4ADFE8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92355"/>
    <w:multiLevelType w:val="multilevel"/>
    <w:tmpl w:val="4A868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AE15B4"/>
    <w:multiLevelType w:val="multilevel"/>
    <w:tmpl w:val="94EC9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8059644">
    <w:abstractNumId w:val="6"/>
  </w:num>
  <w:num w:numId="2" w16cid:durableId="1516112798">
    <w:abstractNumId w:val="33"/>
  </w:num>
  <w:num w:numId="3" w16cid:durableId="125124580">
    <w:abstractNumId w:val="19"/>
  </w:num>
  <w:num w:numId="4" w16cid:durableId="1089696161">
    <w:abstractNumId w:val="18"/>
  </w:num>
  <w:num w:numId="5" w16cid:durableId="883718776">
    <w:abstractNumId w:val="32"/>
  </w:num>
  <w:num w:numId="6" w16cid:durableId="1383752712">
    <w:abstractNumId w:val="22"/>
  </w:num>
  <w:num w:numId="7" w16cid:durableId="1855536023">
    <w:abstractNumId w:val="27"/>
  </w:num>
  <w:num w:numId="8" w16cid:durableId="1062564091">
    <w:abstractNumId w:val="10"/>
  </w:num>
  <w:num w:numId="9" w16cid:durableId="1255748302">
    <w:abstractNumId w:val="29"/>
  </w:num>
  <w:num w:numId="10" w16cid:durableId="583803152">
    <w:abstractNumId w:val="16"/>
  </w:num>
  <w:num w:numId="11" w16cid:durableId="1726566841">
    <w:abstractNumId w:val="31"/>
  </w:num>
  <w:num w:numId="12" w16cid:durableId="543297905">
    <w:abstractNumId w:val="12"/>
  </w:num>
  <w:num w:numId="13" w16cid:durableId="496305634">
    <w:abstractNumId w:val="3"/>
  </w:num>
  <w:num w:numId="14" w16cid:durableId="1512378896">
    <w:abstractNumId w:val="26"/>
  </w:num>
  <w:num w:numId="15" w16cid:durableId="302009350">
    <w:abstractNumId w:val="25"/>
  </w:num>
  <w:num w:numId="16" w16cid:durableId="739407917">
    <w:abstractNumId w:val="20"/>
  </w:num>
  <w:num w:numId="17" w16cid:durableId="306322740">
    <w:abstractNumId w:val="28"/>
  </w:num>
  <w:num w:numId="18" w16cid:durableId="1732850034">
    <w:abstractNumId w:val="1"/>
  </w:num>
  <w:num w:numId="19" w16cid:durableId="543834744">
    <w:abstractNumId w:val="11"/>
  </w:num>
  <w:num w:numId="20" w16cid:durableId="1879587401">
    <w:abstractNumId w:val="9"/>
  </w:num>
  <w:num w:numId="21" w16cid:durableId="743335279">
    <w:abstractNumId w:val="13"/>
  </w:num>
  <w:num w:numId="22" w16cid:durableId="178274430">
    <w:abstractNumId w:val="8"/>
  </w:num>
  <w:num w:numId="23" w16cid:durableId="869686495">
    <w:abstractNumId w:val="24"/>
  </w:num>
  <w:num w:numId="24" w16cid:durableId="818157261">
    <w:abstractNumId w:val="17"/>
  </w:num>
  <w:num w:numId="25" w16cid:durableId="77598098">
    <w:abstractNumId w:val="23"/>
  </w:num>
  <w:num w:numId="26" w16cid:durableId="1268198589">
    <w:abstractNumId w:val="37"/>
  </w:num>
  <w:num w:numId="27" w16cid:durableId="1094663509">
    <w:abstractNumId w:val="15"/>
  </w:num>
  <w:num w:numId="28" w16cid:durableId="1252816800">
    <w:abstractNumId w:val="35"/>
  </w:num>
  <w:num w:numId="29" w16cid:durableId="1899050726">
    <w:abstractNumId w:val="0"/>
  </w:num>
  <w:num w:numId="30" w16cid:durableId="2016302739">
    <w:abstractNumId w:val="14"/>
  </w:num>
  <w:num w:numId="31" w16cid:durableId="7801639">
    <w:abstractNumId w:val="5"/>
  </w:num>
  <w:num w:numId="32" w16cid:durableId="297151497">
    <w:abstractNumId w:val="30"/>
  </w:num>
  <w:num w:numId="33" w16cid:durableId="293099264">
    <w:abstractNumId w:val="4"/>
  </w:num>
  <w:num w:numId="34" w16cid:durableId="141044451">
    <w:abstractNumId w:val="2"/>
  </w:num>
  <w:num w:numId="35" w16cid:durableId="1140465575">
    <w:abstractNumId w:val="34"/>
  </w:num>
  <w:num w:numId="36" w16cid:durableId="16273296">
    <w:abstractNumId w:val="38"/>
  </w:num>
  <w:num w:numId="37" w16cid:durableId="2072187948">
    <w:abstractNumId w:val="7"/>
  </w:num>
  <w:num w:numId="38" w16cid:durableId="2112582687">
    <w:abstractNumId w:val="21"/>
  </w:num>
  <w:num w:numId="39" w16cid:durableId="204487906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FC1"/>
    <w:rsid w:val="00031947"/>
    <w:rsid w:val="0005441F"/>
    <w:rsid w:val="00091C64"/>
    <w:rsid w:val="000B2C4B"/>
    <w:rsid w:val="000C771D"/>
    <w:rsid w:val="00110508"/>
    <w:rsid w:val="00175DC2"/>
    <w:rsid w:val="00194660"/>
    <w:rsid w:val="001D088B"/>
    <w:rsid w:val="001D10CC"/>
    <w:rsid w:val="00201BDA"/>
    <w:rsid w:val="00305F66"/>
    <w:rsid w:val="00343B3C"/>
    <w:rsid w:val="00355B2A"/>
    <w:rsid w:val="00374DF1"/>
    <w:rsid w:val="003F3669"/>
    <w:rsid w:val="0042213A"/>
    <w:rsid w:val="004940D9"/>
    <w:rsid w:val="0053263C"/>
    <w:rsid w:val="005A7A94"/>
    <w:rsid w:val="0061333C"/>
    <w:rsid w:val="00613FCC"/>
    <w:rsid w:val="00676EC1"/>
    <w:rsid w:val="006877A2"/>
    <w:rsid w:val="006B01D5"/>
    <w:rsid w:val="006C6FC1"/>
    <w:rsid w:val="0072667C"/>
    <w:rsid w:val="007946E3"/>
    <w:rsid w:val="007A0D61"/>
    <w:rsid w:val="007E558B"/>
    <w:rsid w:val="008D7427"/>
    <w:rsid w:val="009002CA"/>
    <w:rsid w:val="00916CCD"/>
    <w:rsid w:val="0093510A"/>
    <w:rsid w:val="009A5C62"/>
    <w:rsid w:val="009C22EB"/>
    <w:rsid w:val="00AA076A"/>
    <w:rsid w:val="00B33F6F"/>
    <w:rsid w:val="00B73AA0"/>
    <w:rsid w:val="00BA7C8F"/>
    <w:rsid w:val="00BB399F"/>
    <w:rsid w:val="00BB4D17"/>
    <w:rsid w:val="00BC1EEB"/>
    <w:rsid w:val="00C013B3"/>
    <w:rsid w:val="00C867A1"/>
    <w:rsid w:val="00CA225C"/>
    <w:rsid w:val="00CB62FC"/>
    <w:rsid w:val="00D66D8E"/>
    <w:rsid w:val="00DD301A"/>
    <w:rsid w:val="00E35226"/>
    <w:rsid w:val="00E73272"/>
    <w:rsid w:val="00EC3477"/>
    <w:rsid w:val="00F818F3"/>
    <w:rsid w:val="00F94B6D"/>
    <w:rsid w:val="00FB2D50"/>
    <w:rsid w:val="00FB35D0"/>
    <w:rsid w:val="00FB3BD0"/>
    <w:rsid w:val="00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4DAFF"/>
  <w15:chartTrackingRefBased/>
  <w15:docId w15:val="{CF7149DF-AB7E-4619-AF7B-649F67EE0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uk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01D5"/>
  </w:style>
  <w:style w:type="paragraph" w:styleId="1">
    <w:name w:val="heading 1"/>
    <w:basedOn w:val="a"/>
    <w:next w:val="a"/>
    <w:link w:val="10"/>
    <w:uiPriority w:val="9"/>
    <w:qFormat/>
    <w:rsid w:val="006C6F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C6F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6FC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C6FC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C6FC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C6FC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C6FC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C6FC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C6FC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C6F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C6F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C6FC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C6FC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C6FC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C6FC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C6FC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C6FC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C6FC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C6F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6C6F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C6FC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6C6FC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C6FC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6C6FC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C6FC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C6FC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C6F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6C6FC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C6FC1"/>
    <w:rPr>
      <w:b/>
      <w:bCs/>
      <w:smallCaps/>
      <w:color w:val="2F5496" w:themeColor="accent1" w:themeShade="BF"/>
      <w:spacing w:val="5"/>
    </w:rPr>
  </w:style>
  <w:style w:type="character" w:styleId="ae">
    <w:name w:val="Strong"/>
    <w:basedOn w:val="a0"/>
    <w:uiPriority w:val="22"/>
    <w:qFormat/>
    <w:rsid w:val="006B01D5"/>
    <w:rPr>
      <w:b/>
      <w:bCs/>
    </w:rPr>
  </w:style>
  <w:style w:type="paragraph" w:styleId="af">
    <w:name w:val="Normal (Web)"/>
    <w:basedOn w:val="a"/>
    <w:uiPriority w:val="99"/>
    <w:unhideWhenUsed/>
    <w:rsid w:val="006B01D5"/>
    <w:rPr>
      <w:sz w:val="24"/>
      <w:szCs w:val="24"/>
    </w:rPr>
  </w:style>
  <w:style w:type="table" w:styleId="af0">
    <w:name w:val="Table Grid"/>
    <w:basedOn w:val="a1"/>
    <w:uiPriority w:val="39"/>
    <w:rsid w:val="00FB3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1625</Words>
  <Characters>927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Наталія Юріївна</dc:creator>
  <cp:keywords/>
  <dc:description/>
  <cp:lastModifiedBy>Кошель Наталія Юріївна</cp:lastModifiedBy>
  <cp:revision>2</cp:revision>
  <cp:lastPrinted>2025-04-23T11:21:00Z</cp:lastPrinted>
  <dcterms:created xsi:type="dcterms:W3CDTF">2026-03-17T11:38:00Z</dcterms:created>
  <dcterms:modified xsi:type="dcterms:W3CDTF">2026-03-17T11:38:00Z</dcterms:modified>
</cp:coreProperties>
</file>