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A6C5" w14:textId="77777777" w:rsidR="00CC0BB9" w:rsidRPr="000D637A" w:rsidRDefault="00CC0BB9" w:rsidP="00CC0BB9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2DC48B9D" w14:textId="42C3863B" w:rsidR="00CC0BB9" w:rsidRPr="000D637A" w:rsidRDefault="00CC0BB9" w:rsidP="00CC0BB9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682CDAC7" w14:textId="77777777" w:rsidR="00CC0BB9" w:rsidRDefault="00CC0BB9" w:rsidP="00CC0BB9">
      <w:pPr>
        <w:ind w:firstLine="709"/>
        <w:jc w:val="both"/>
        <w:rPr>
          <w:sz w:val="28"/>
          <w:szCs w:val="28"/>
        </w:rPr>
      </w:pPr>
    </w:p>
    <w:p w14:paraId="1BD1EED8" w14:textId="77777777" w:rsidR="00CC0BB9" w:rsidRPr="00156E28" w:rsidRDefault="00CC0BB9" w:rsidP="00CC0BB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1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1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>Організація прийому на навчання за освітньо-професійною програмою та визнання результатів навчання, отриманих в інших закладах освіти»</w:t>
      </w:r>
    </w:p>
    <w:p w14:paraId="5FC4932F" w14:textId="77777777" w:rsidR="00CC0BB9" w:rsidRDefault="00CC0BB9" w:rsidP="00CC0BB9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</w:p>
    <w:p w14:paraId="134F4D31" w14:textId="77777777" w:rsidR="00CC0BB9" w:rsidRPr="00156E28" w:rsidRDefault="00CC0BB9" w:rsidP="00CC0BB9">
      <w:pPr>
        <w:pStyle w:val="a9"/>
        <w:numPr>
          <w:ilvl w:val="0"/>
          <w:numId w:val="3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>Оцінити рівень поінформованості здобувачів освіти щодо правил, процедур і умов вступу на освітньо-професійну програму.</w:t>
      </w:r>
    </w:p>
    <w:p w14:paraId="6450FF7B" w14:textId="77777777" w:rsidR="00CC0BB9" w:rsidRPr="006B01D5" w:rsidRDefault="00CC0BB9" w:rsidP="00CC0BB9">
      <w:pPr>
        <w:numPr>
          <w:ilvl w:val="0"/>
          <w:numId w:val="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З'ясувати ефективність роботи приймальної комісії та доступність інформації про вступ для абітурієнтів.</w:t>
      </w:r>
    </w:p>
    <w:p w14:paraId="1265F1BF" w14:textId="77777777" w:rsidR="00CC0BB9" w:rsidRPr="006B01D5" w:rsidRDefault="00CC0BB9" w:rsidP="00CC0BB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Визначити, наскільки студентам зрозумілі вимоги до попередньої освіти, порядок подання документів і критерії зарахування.</w:t>
      </w:r>
    </w:p>
    <w:p w14:paraId="6BF7DA9D" w14:textId="77777777" w:rsidR="00CC0BB9" w:rsidRPr="006B01D5" w:rsidRDefault="00CC0BB9" w:rsidP="00CC0BB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Виявити обізнаність студентів щодо можливостей академічної мобільності (здобуття частини програми в іншому ЗВО) та визнання результатів неформальної освіти.</w:t>
      </w:r>
    </w:p>
    <w:p w14:paraId="1E8ABC03" w14:textId="77777777" w:rsidR="00CC0BB9" w:rsidRPr="006B01D5" w:rsidRDefault="00CC0BB9" w:rsidP="00CC0BB9">
      <w:pPr>
        <w:numPr>
          <w:ilvl w:val="0"/>
          <w:numId w:val="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Перевірити рівень ознайомлення здобувачів освіти з процедурою відрахування, її прозорістю та доступністю для розуміння.</w:t>
      </w:r>
    </w:p>
    <w:p w14:paraId="4B5B860C" w14:textId="77777777" w:rsidR="00CC0BB9" w:rsidRDefault="00CC0BB9" w:rsidP="00CC0BB9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113254BA" w14:textId="77777777" w:rsidR="00CC0BB9" w:rsidRPr="00F15410" w:rsidRDefault="00CC0BB9" w:rsidP="00CC0BB9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52E9194B" w14:textId="064CE6C5" w:rsidR="00CC0BB9" w:rsidRDefault="00CC0BB9" w:rsidP="00CC0BB9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>першого, другого</w:t>
      </w:r>
      <w:r w:rsidR="004D42A6">
        <w:rPr>
          <w:sz w:val="28"/>
          <w:szCs w:val="28"/>
        </w:rPr>
        <w:t>, третього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="004D42A6"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</w:p>
    <w:p w14:paraId="65EE7325" w14:textId="77777777" w:rsidR="004D42A6" w:rsidRDefault="00CC0BB9" w:rsidP="00CC0BB9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В опитуванні взяли участь </w:t>
      </w:r>
      <w:r w:rsidR="004D42A6">
        <w:rPr>
          <w:sz w:val="28"/>
          <w:szCs w:val="28"/>
        </w:rPr>
        <w:t>34</w:t>
      </w:r>
      <w:r w:rsidRPr="00F15410">
        <w:rPr>
          <w:sz w:val="28"/>
          <w:szCs w:val="28"/>
        </w:rPr>
        <w:t xml:space="preserve"> здобувачів</w:t>
      </w:r>
      <w:r>
        <w:rPr>
          <w:sz w:val="28"/>
          <w:szCs w:val="28"/>
        </w:rPr>
        <w:t xml:space="preserve"> освіти </w:t>
      </w:r>
    </w:p>
    <w:p w14:paraId="118C56A7" w14:textId="77777777" w:rsidR="004D42A6" w:rsidRDefault="004D42A6" w:rsidP="00CC0BB9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9A2FA27" w14:textId="46837C1E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55DFDC3" w14:textId="7425B07C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06E10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58240" behindDoc="1" locked="0" layoutInCell="1" allowOverlap="1" wp14:anchorId="68AE3B71" wp14:editId="54CD0286">
            <wp:simplePos x="0" y="0"/>
            <wp:positionH relativeFrom="column">
              <wp:posOffset>594582</wp:posOffset>
            </wp:positionH>
            <wp:positionV relativeFrom="paragraph">
              <wp:posOffset>4880</wp:posOffset>
            </wp:positionV>
            <wp:extent cx="3657600" cy="2152650"/>
            <wp:effectExtent l="0" t="0" r="0" b="0"/>
            <wp:wrapTight wrapText="bothSides">
              <wp:wrapPolygon edited="0">
                <wp:start x="450" y="0"/>
                <wp:lineTo x="0" y="382"/>
                <wp:lineTo x="0" y="21218"/>
                <wp:lineTo x="450" y="21409"/>
                <wp:lineTo x="21038" y="21409"/>
                <wp:lineTo x="21488" y="21218"/>
                <wp:lineTo x="21488" y="382"/>
                <wp:lineTo x="21038" y="0"/>
                <wp:lineTo x="450" y="0"/>
              </wp:wrapPolygon>
            </wp:wrapTight>
            <wp:docPr id="1072850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017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9E22B" w14:textId="150822A4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05F01C7" w14:textId="4649B642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CC28B46" w14:textId="3C628E60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31F0F26" w14:textId="7769DA56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E0EF5C5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45F7A43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A735251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AA0FD7C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A2A3D3B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6A84A28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F42476E" w14:textId="0018D0AF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color w:val="0D0D0D"/>
          <w:sz w:val="24"/>
          <w:szCs w:val="24"/>
          <w:shd w:val="clear" w:color="auto" w:fill="FFFFFF"/>
        </w:rPr>
        <w:t>Р</w:t>
      </w:r>
      <w:bookmarkStart w:id="2" w:name="_Hlk215173923"/>
      <w:r>
        <w:rPr>
          <w:color w:val="0D0D0D"/>
          <w:sz w:val="24"/>
          <w:szCs w:val="24"/>
          <w:shd w:val="clear" w:color="auto" w:fill="FFFFFF"/>
        </w:rPr>
        <w:t>езультати опитування свідчать</w:t>
      </w:r>
      <w:bookmarkEnd w:id="2"/>
      <w:r>
        <w:rPr>
          <w:color w:val="0D0D0D"/>
          <w:sz w:val="24"/>
          <w:szCs w:val="24"/>
          <w:shd w:val="clear" w:color="auto" w:fill="FFFFFF"/>
        </w:rPr>
        <w:t xml:space="preserve">, що </w:t>
      </w:r>
      <w:proofErr w:type="spellStart"/>
      <w:r>
        <w:rPr>
          <w:color w:val="0D0D0D"/>
          <w:sz w:val="24"/>
          <w:szCs w:val="24"/>
          <w:shd w:val="clear" w:color="auto" w:fill="FFFFFF"/>
        </w:rPr>
        <w:t>в</w:t>
      </w:r>
      <w:r w:rsidRPr="00091C64">
        <w:rPr>
          <w:color w:val="0D0D0D"/>
          <w:sz w:val="24"/>
          <w:szCs w:val="24"/>
          <w:shd w:val="clear" w:color="auto" w:fill="FFFFFF"/>
        </w:rPr>
        <w:t>ебсайт</w:t>
      </w:r>
      <w:proofErr w:type="spellEnd"/>
      <w:r w:rsidRPr="00091C64">
        <w:rPr>
          <w:color w:val="0D0D0D"/>
          <w:sz w:val="24"/>
          <w:szCs w:val="24"/>
          <w:shd w:val="clear" w:color="auto" w:fill="FFFFFF"/>
        </w:rPr>
        <w:t xml:space="preserve"> повністю виконує свою інформаційну функцію. Усі студенти вказали, що потрібна інформація була.</w:t>
      </w:r>
    </w:p>
    <w:p w14:paraId="3C2C2C1A" w14:textId="5757CE68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A644032" w14:textId="5E964CA9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64F91578" wp14:editId="2EAF1E46">
            <wp:simplePos x="0" y="0"/>
            <wp:positionH relativeFrom="column">
              <wp:posOffset>214200</wp:posOffset>
            </wp:positionH>
            <wp:positionV relativeFrom="paragraph">
              <wp:posOffset>5080</wp:posOffset>
            </wp:positionV>
            <wp:extent cx="3976370" cy="2484120"/>
            <wp:effectExtent l="0" t="0" r="5080" b="0"/>
            <wp:wrapTight wrapText="bothSides">
              <wp:wrapPolygon edited="0">
                <wp:start x="414" y="0"/>
                <wp:lineTo x="0" y="331"/>
                <wp:lineTo x="0" y="20540"/>
                <wp:lineTo x="103" y="21202"/>
                <wp:lineTo x="414" y="21368"/>
                <wp:lineTo x="21110" y="21368"/>
                <wp:lineTo x="21421" y="21202"/>
                <wp:lineTo x="21524" y="20540"/>
                <wp:lineTo x="21524" y="331"/>
                <wp:lineTo x="21110" y="0"/>
                <wp:lineTo x="414" y="0"/>
              </wp:wrapPolygon>
            </wp:wrapTight>
            <wp:docPr id="5425845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2484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9481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6AEA284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6EB2034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9AC4F8B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3ECA740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03380C5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0B2D428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675394C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CB4DE82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30D329D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B36EFBA" w14:textId="7777777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F432AD0" w14:textId="77777777" w:rsidR="00706E10" w:rsidRDefault="00706E10" w:rsidP="00091C64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7229075B" w14:textId="7B3453E7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color w:val="0D0D0D"/>
          <w:sz w:val="24"/>
          <w:szCs w:val="24"/>
          <w:shd w:val="clear" w:color="auto" w:fill="FFFFFF"/>
        </w:rPr>
        <w:t xml:space="preserve">Результати опитування свідчать про те, що </w:t>
      </w:r>
      <w:r w:rsidRPr="00091C64">
        <w:rPr>
          <w:color w:val="0D0D0D"/>
          <w:sz w:val="24"/>
          <w:szCs w:val="24"/>
          <w:shd w:val="clear" w:color="auto" w:fill="FFFFFF"/>
        </w:rPr>
        <w:t>Приймальна комісія працює ефективно, вступники повністю задоволені рівнем консультування</w:t>
      </w:r>
    </w:p>
    <w:p w14:paraId="0D09F582" w14:textId="3C937BF9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DBB0570" w14:textId="2183BA8F" w:rsidR="00706E10" w:rsidRDefault="00663A6A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2336" behindDoc="1" locked="0" layoutInCell="1" allowOverlap="1" wp14:anchorId="47CFBC86" wp14:editId="3B5A062A">
            <wp:simplePos x="0" y="0"/>
            <wp:positionH relativeFrom="page">
              <wp:posOffset>1570999</wp:posOffset>
            </wp:positionH>
            <wp:positionV relativeFrom="paragraph">
              <wp:posOffset>67506</wp:posOffset>
            </wp:positionV>
            <wp:extent cx="3663315" cy="2338705"/>
            <wp:effectExtent l="0" t="0" r="0" b="4445"/>
            <wp:wrapTight wrapText="bothSides">
              <wp:wrapPolygon edited="0">
                <wp:start x="449" y="0"/>
                <wp:lineTo x="0" y="352"/>
                <wp:lineTo x="0" y="21289"/>
                <wp:lineTo x="449" y="21465"/>
                <wp:lineTo x="21005" y="21465"/>
                <wp:lineTo x="21454" y="21289"/>
                <wp:lineTo x="21454" y="352"/>
                <wp:lineTo x="21005" y="0"/>
                <wp:lineTo x="449" y="0"/>
              </wp:wrapPolygon>
            </wp:wrapTight>
            <wp:docPr id="8940947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2338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CEE8E" w14:textId="3C4DD864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60F6922" w14:textId="5D67E5D4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D07F657" w14:textId="26FA8981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B41A734" w14:textId="1446AC54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E18F9BD" w14:textId="0D0F4575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1B972E2" w14:textId="7361D00D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B4EB546" w14:textId="4A4484E0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D83F385" w14:textId="77777777" w:rsidR="00663A6A" w:rsidRPr="00663A6A" w:rsidRDefault="00663A6A" w:rsidP="00663A6A">
      <w:pPr>
        <w:rPr>
          <w:rFonts w:eastAsia="Times New Roman"/>
          <w:sz w:val="28"/>
          <w:szCs w:val="28"/>
          <w:lang w:eastAsia="uk-UA"/>
        </w:rPr>
      </w:pPr>
    </w:p>
    <w:p w14:paraId="44E64326" w14:textId="77777777" w:rsidR="00663A6A" w:rsidRPr="00663A6A" w:rsidRDefault="00663A6A" w:rsidP="00663A6A">
      <w:pPr>
        <w:rPr>
          <w:rFonts w:eastAsia="Times New Roman"/>
          <w:sz w:val="28"/>
          <w:szCs w:val="28"/>
          <w:lang w:eastAsia="uk-UA"/>
        </w:rPr>
      </w:pPr>
    </w:p>
    <w:p w14:paraId="4405654C" w14:textId="77777777" w:rsidR="00663A6A" w:rsidRPr="00663A6A" w:rsidRDefault="00663A6A" w:rsidP="00663A6A">
      <w:pPr>
        <w:rPr>
          <w:rFonts w:eastAsia="Times New Roman"/>
          <w:sz w:val="28"/>
          <w:szCs w:val="28"/>
          <w:lang w:eastAsia="uk-UA"/>
        </w:rPr>
      </w:pPr>
    </w:p>
    <w:p w14:paraId="4C8ACF25" w14:textId="77777777" w:rsidR="00663A6A" w:rsidRDefault="00663A6A" w:rsidP="00663A6A">
      <w:pPr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148EBAF" w14:textId="08DEFDCD" w:rsidR="00663A6A" w:rsidRDefault="00663A6A" w:rsidP="00663A6A">
      <w:p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color w:val="0D0D0D"/>
          <w:sz w:val="24"/>
          <w:szCs w:val="24"/>
          <w:shd w:val="clear" w:color="auto" w:fill="FFFFFF"/>
        </w:rPr>
        <w:t>Результати опитування свідчать про те, що п</w:t>
      </w:r>
      <w:r w:rsidRPr="00091C64">
        <w:rPr>
          <w:color w:val="0D0D0D"/>
          <w:sz w:val="24"/>
          <w:szCs w:val="24"/>
          <w:shd w:val="clear" w:color="auto" w:fill="FFFFFF"/>
        </w:rPr>
        <w:t>роцедура подачі документів була зрозумілою та чітко пояснена.</w:t>
      </w:r>
    </w:p>
    <w:p w14:paraId="48D3D2FF" w14:textId="785470B9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4EA534A8" w14:textId="6DBB6488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0288" behindDoc="1" locked="0" layoutInCell="1" allowOverlap="1" wp14:anchorId="67B8D5E9" wp14:editId="64EA0A98">
            <wp:simplePos x="0" y="0"/>
            <wp:positionH relativeFrom="page">
              <wp:posOffset>1322696</wp:posOffset>
            </wp:positionH>
            <wp:positionV relativeFrom="paragraph">
              <wp:posOffset>7833</wp:posOffset>
            </wp:positionV>
            <wp:extent cx="4176395" cy="2615565"/>
            <wp:effectExtent l="0" t="0" r="0" b="0"/>
            <wp:wrapTight wrapText="bothSides">
              <wp:wrapPolygon edited="0">
                <wp:start x="0" y="0"/>
                <wp:lineTo x="0" y="21395"/>
                <wp:lineTo x="21478" y="21395"/>
                <wp:lineTo x="21478" y="0"/>
                <wp:lineTo x="0" y="0"/>
              </wp:wrapPolygon>
            </wp:wrapTight>
            <wp:docPr id="6379501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5DDD" w14:textId="376FF211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0524B014" w14:textId="77777777" w:rsidR="0036354C" w:rsidRDefault="00663A6A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ab/>
      </w:r>
    </w:p>
    <w:p w14:paraId="348E3E9E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6C8372B6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3AF3BFC9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1682952D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17BAAA17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1C23CD5B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58303251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4B239A3C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5E287DF0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5027ED1C" w14:textId="77777777" w:rsidR="0036354C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</w:p>
    <w:p w14:paraId="1D6531C8" w14:textId="06F478FD" w:rsidR="00663A6A" w:rsidRPr="00663A6A" w:rsidRDefault="0036354C" w:rsidP="00663A6A">
      <w:pPr>
        <w:tabs>
          <w:tab w:val="left" w:pos="1015"/>
        </w:tabs>
        <w:rPr>
          <w:rFonts w:eastAsia="Times New Roman"/>
          <w:sz w:val="28"/>
          <w:szCs w:val="28"/>
          <w:lang w:eastAsia="uk-UA"/>
        </w:rPr>
      </w:pPr>
      <w:r>
        <w:rPr>
          <w:color w:val="0D0D0D"/>
          <w:sz w:val="24"/>
          <w:szCs w:val="24"/>
          <w:shd w:val="clear" w:color="auto" w:fill="FFFFFF"/>
        </w:rPr>
        <w:t>Р</w:t>
      </w:r>
      <w:r w:rsidRPr="0036354C">
        <w:rPr>
          <w:color w:val="0D0D0D"/>
          <w:sz w:val="24"/>
          <w:szCs w:val="24"/>
          <w:shd w:val="clear" w:color="auto" w:fill="FFFFFF"/>
        </w:rPr>
        <w:t>езультати опитування свідчать</w:t>
      </w:r>
      <w:r>
        <w:rPr>
          <w:color w:val="0D0D0D"/>
          <w:sz w:val="24"/>
          <w:szCs w:val="24"/>
          <w:shd w:val="clear" w:color="auto" w:fill="FFFFFF"/>
        </w:rPr>
        <w:t xml:space="preserve"> про те, що </w:t>
      </w:r>
      <w:r w:rsidRPr="00091C64">
        <w:rPr>
          <w:color w:val="0D0D0D"/>
          <w:sz w:val="24"/>
          <w:szCs w:val="24"/>
          <w:shd w:val="clear" w:color="auto" w:fill="FFFFFF"/>
        </w:rPr>
        <w:t>Переважна більшість ознайомлені з вимогами; 1 особа, ймовірно, пропустила інформацію або не зрозуміла її.</w:t>
      </w:r>
    </w:p>
    <w:p w14:paraId="53D43F30" w14:textId="7FFF6C63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18B7B8E" w14:textId="551BF71C" w:rsidR="00706E10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63360" behindDoc="1" locked="0" layoutInCell="1" allowOverlap="1" wp14:anchorId="59368533" wp14:editId="6EC9BA29">
            <wp:simplePos x="0" y="0"/>
            <wp:positionH relativeFrom="column">
              <wp:posOffset>330605</wp:posOffset>
            </wp:positionH>
            <wp:positionV relativeFrom="paragraph">
              <wp:posOffset>5127</wp:posOffset>
            </wp:positionV>
            <wp:extent cx="3921032" cy="2384829"/>
            <wp:effectExtent l="0" t="0" r="3810" b="0"/>
            <wp:wrapTight wrapText="bothSides">
              <wp:wrapPolygon edited="0">
                <wp:start x="0" y="0"/>
                <wp:lineTo x="0" y="21399"/>
                <wp:lineTo x="21516" y="21399"/>
                <wp:lineTo x="21516" y="0"/>
                <wp:lineTo x="0" y="0"/>
              </wp:wrapPolygon>
            </wp:wrapTight>
            <wp:docPr id="6699912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032" cy="2384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30E3ED" w14:textId="45D34572" w:rsidR="00706E10" w:rsidRDefault="00706E10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6A7F366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331B079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E03D567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A171963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FF16E56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B1D3436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65292D3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16D8E39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2997305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7A46289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E55CF11" w14:textId="276C0AC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color w:val="0D0D0D"/>
          <w:sz w:val="24"/>
          <w:szCs w:val="24"/>
          <w:shd w:val="clear" w:color="auto" w:fill="FFFFFF"/>
        </w:rPr>
        <w:t>Р</w:t>
      </w:r>
      <w:r w:rsidRPr="0036354C">
        <w:rPr>
          <w:color w:val="0D0D0D"/>
          <w:sz w:val="24"/>
          <w:szCs w:val="24"/>
          <w:shd w:val="clear" w:color="auto" w:fill="FFFFFF"/>
        </w:rPr>
        <w:t xml:space="preserve">езультати опитування свідчать </w:t>
      </w:r>
      <w:r>
        <w:rPr>
          <w:color w:val="0D0D0D"/>
          <w:sz w:val="24"/>
          <w:szCs w:val="24"/>
          <w:shd w:val="clear" w:color="auto" w:fill="FFFFFF"/>
        </w:rPr>
        <w:t>про те, що 91% опитаних мають в</w:t>
      </w:r>
      <w:r w:rsidRPr="00091C64">
        <w:rPr>
          <w:color w:val="0D0D0D"/>
          <w:sz w:val="24"/>
          <w:szCs w:val="24"/>
          <w:shd w:val="clear" w:color="auto" w:fill="FFFFFF"/>
        </w:rPr>
        <w:t>исокий рівень обізнаності щодо академічної мобільності, але 3 особи не знають про цю можливість</w:t>
      </w:r>
    </w:p>
    <w:p w14:paraId="1823BBCA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39461A8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610FE6C" w14:textId="34125BE3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6354C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4384" behindDoc="1" locked="0" layoutInCell="1" allowOverlap="1" wp14:anchorId="3F5BF09A" wp14:editId="54A70D60">
            <wp:simplePos x="0" y="0"/>
            <wp:positionH relativeFrom="column">
              <wp:posOffset>718019</wp:posOffset>
            </wp:positionH>
            <wp:positionV relativeFrom="paragraph">
              <wp:posOffset>-30</wp:posOffset>
            </wp:positionV>
            <wp:extent cx="3081223" cy="1917901"/>
            <wp:effectExtent l="0" t="0" r="5080" b="6350"/>
            <wp:wrapTight wrapText="bothSides">
              <wp:wrapPolygon edited="0">
                <wp:start x="0" y="0"/>
                <wp:lineTo x="0" y="21457"/>
                <wp:lineTo x="21502" y="21457"/>
                <wp:lineTo x="21502" y="0"/>
                <wp:lineTo x="0" y="0"/>
              </wp:wrapPolygon>
            </wp:wrapTight>
            <wp:docPr id="1499749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496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223" cy="1917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2C621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C9AABF4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012FC3F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E6CC79E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D2E718D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1DB1304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889954B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B1B94D0" w14:textId="77777777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52711DF" w14:textId="77777777" w:rsidR="0036354C" w:rsidRDefault="0036354C" w:rsidP="00091C64">
      <w:pPr>
        <w:jc w:val="both"/>
        <w:rPr>
          <w:color w:val="0D0D0D"/>
          <w:sz w:val="24"/>
          <w:szCs w:val="24"/>
          <w:shd w:val="clear" w:color="auto" w:fill="FFFFFF"/>
        </w:rPr>
      </w:pPr>
    </w:p>
    <w:p w14:paraId="57CE22FF" w14:textId="221373BD" w:rsidR="0036354C" w:rsidRDefault="0036354C" w:rsidP="00091C64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A7536">
        <w:rPr>
          <w:color w:val="0D0D0D"/>
          <w:sz w:val="28"/>
          <w:szCs w:val="28"/>
          <w:shd w:val="clear" w:color="auto" w:fill="FFFFFF"/>
        </w:rPr>
        <w:t>Результати опитування свідчать про те, що 97% опитаних  знають про можливість визнання результатів неформальної освіти. Водночас варто наводити більше прикладів реалізації на практиці.</w:t>
      </w:r>
    </w:p>
    <w:p w14:paraId="7CECC47D" w14:textId="77777777" w:rsidR="006A7536" w:rsidRDefault="006A7536" w:rsidP="006A7536">
      <w:pPr>
        <w:jc w:val="both"/>
        <w:rPr>
          <w:sz w:val="28"/>
          <w:szCs w:val="28"/>
        </w:rPr>
      </w:pPr>
    </w:p>
    <w:p w14:paraId="22762246" w14:textId="2C5CBDDE" w:rsidR="006A7536" w:rsidRDefault="006A7536" w:rsidP="006A7536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0D637A">
        <w:rPr>
          <w:sz w:val="28"/>
          <w:szCs w:val="28"/>
        </w:rPr>
        <w:t xml:space="preserve">Результати проведеного аналізу </w:t>
      </w:r>
      <w:r w:rsidRPr="00091C64">
        <w:rPr>
          <w:rFonts w:eastAsia="Times New Roman"/>
          <w:kern w:val="0"/>
          <w:sz w:val="28"/>
          <w:szCs w:val="28"/>
          <w:lang w:eastAsia="uk-UA"/>
          <w14:ligatures w14:val="none"/>
        </w:rPr>
        <w:t>показал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и:</w:t>
      </w:r>
    </w:p>
    <w:p w14:paraId="54DBBABF" w14:textId="4988DC3E" w:rsidR="00091C64" w:rsidRPr="006A7536" w:rsidRDefault="00091C64" w:rsidP="006A7536">
      <w:pPr>
        <w:pStyle w:val="a9"/>
        <w:numPr>
          <w:ilvl w:val="0"/>
          <w:numId w:val="3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A7536">
        <w:rPr>
          <w:rFonts w:eastAsia="Times New Roman"/>
          <w:kern w:val="0"/>
          <w:sz w:val="28"/>
          <w:szCs w:val="28"/>
          <w:lang w:eastAsia="uk-UA"/>
          <w14:ligatures w14:val="none"/>
        </w:rPr>
        <w:t>Інформація про вступ та організацію прийому подана чітко, вчасно та зрозуміло — як на сайті, так і працівниками приймальної комісії.</w:t>
      </w:r>
    </w:p>
    <w:p w14:paraId="0C9821C8" w14:textId="77777777" w:rsidR="00091C64" w:rsidRPr="00091C64" w:rsidRDefault="00091C64" w:rsidP="00091C64">
      <w:pPr>
        <w:numPr>
          <w:ilvl w:val="0"/>
          <w:numId w:val="13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091C64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здобувачів освіти знають про можливості визнання результатів іншого навчання, а також неформальної освіти.</w:t>
      </w:r>
    </w:p>
    <w:p w14:paraId="4354BAD1" w14:textId="77777777" w:rsidR="00091C64" w:rsidRPr="00091C64" w:rsidRDefault="00091C64" w:rsidP="00091C64">
      <w:pPr>
        <w:numPr>
          <w:ilvl w:val="0"/>
          <w:numId w:val="13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091C64">
        <w:rPr>
          <w:rFonts w:eastAsia="Times New Roman"/>
          <w:kern w:val="0"/>
          <w:sz w:val="28"/>
          <w:szCs w:val="28"/>
          <w:lang w:eastAsia="uk-UA"/>
          <w14:ligatures w14:val="none"/>
        </w:rPr>
        <w:t>Питання академічної мобільності та відрахування потребують додаткової уваги, зокрема – роз’яснення в адаптаційний період для нових студентів.</w:t>
      </w:r>
    </w:p>
    <w:p w14:paraId="450D0C0A" w14:textId="01CD044D" w:rsidR="00FB2D50" w:rsidRPr="006B01D5" w:rsidRDefault="00091C64" w:rsidP="006A7536">
      <w:pPr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091C64"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</w:t>
      </w:r>
    </w:p>
    <w:p w14:paraId="3B2826FC" w14:textId="3B335DE3" w:rsidR="00DD301A" w:rsidRDefault="00DD301A" w:rsidP="006B01D5"/>
    <w:sectPr w:rsidR="00DD301A" w:rsidSect="00706E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962"/>
    <w:multiLevelType w:val="hybridMultilevel"/>
    <w:tmpl w:val="EA06A0AA"/>
    <w:lvl w:ilvl="0" w:tplc="BD6C73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344D"/>
    <w:multiLevelType w:val="multilevel"/>
    <w:tmpl w:val="6EB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91037"/>
    <w:multiLevelType w:val="multilevel"/>
    <w:tmpl w:val="86D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C551D"/>
    <w:multiLevelType w:val="hybridMultilevel"/>
    <w:tmpl w:val="067E5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1C8"/>
    <w:multiLevelType w:val="multilevel"/>
    <w:tmpl w:val="1A1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46F98"/>
    <w:multiLevelType w:val="multilevel"/>
    <w:tmpl w:val="CDF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64751"/>
    <w:multiLevelType w:val="multilevel"/>
    <w:tmpl w:val="5C28F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D036FE"/>
    <w:multiLevelType w:val="multilevel"/>
    <w:tmpl w:val="D1CC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63478"/>
    <w:multiLevelType w:val="multilevel"/>
    <w:tmpl w:val="21B4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87F"/>
    <w:multiLevelType w:val="multilevel"/>
    <w:tmpl w:val="6486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621AC"/>
    <w:multiLevelType w:val="multilevel"/>
    <w:tmpl w:val="F528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41998"/>
    <w:multiLevelType w:val="hybridMultilevel"/>
    <w:tmpl w:val="5450F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4DA6"/>
    <w:multiLevelType w:val="hybridMultilevel"/>
    <w:tmpl w:val="3022E62A"/>
    <w:lvl w:ilvl="0" w:tplc="187E2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3CA1"/>
    <w:multiLevelType w:val="multilevel"/>
    <w:tmpl w:val="596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F5AF7"/>
    <w:multiLevelType w:val="multilevel"/>
    <w:tmpl w:val="EB7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20897"/>
    <w:multiLevelType w:val="multilevel"/>
    <w:tmpl w:val="4ED6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D6E28"/>
    <w:multiLevelType w:val="multilevel"/>
    <w:tmpl w:val="7B388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94DB6"/>
    <w:multiLevelType w:val="multilevel"/>
    <w:tmpl w:val="04A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453C2"/>
    <w:multiLevelType w:val="multilevel"/>
    <w:tmpl w:val="045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C2AD7"/>
    <w:multiLevelType w:val="multilevel"/>
    <w:tmpl w:val="84B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F56ED"/>
    <w:multiLevelType w:val="multilevel"/>
    <w:tmpl w:val="2AE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00E00"/>
    <w:multiLevelType w:val="multilevel"/>
    <w:tmpl w:val="92E4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B6D6E"/>
    <w:multiLevelType w:val="multilevel"/>
    <w:tmpl w:val="E0F4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008AA"/>
    <w:multiLevelType w:val="multilevel"/>
    <w:tmpl w:val="3B1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B196A"/>
    <w:multiLevelType w:val="multilevel"/>
    <w:tmpl w:val="68F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B7071"/>
    <w:multiLevelType w:val="multilevel"/>
    <w:tmpl w:val="C8A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D28DD"/>
    <w:multiLevelType w:val="multilevel"/>
    <w:tmpl w:val="E31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9248B"/>
    <w:multiLevelType w:val="multilevel"/>
    <w:tmpl w:val="20C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160FC"/>
    <w:multiLevelType w:val="hybridMultilevel"/>
    <w:tmpl w:val="1194A75C"/>
    <w:lvl w:ilvl="0" w:tplc="0CC68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E5F83"/>
    <w:multiLevelType w:val="hybridMultilevel"/>
    <w:tmpl w:val="E1421D44"/>
    <w:lvl w:ilvl="0" w:tplc="1D4ADF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92355"/>
    <w:multiLevelType w:val="multilevel"/>
    <w:tmpl w:val="4A8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059644">
    <w:abstractNumId w:val="4"/>
  </w:num>
  <w:num w:numId="2" w16cid:durableId="1516112798">
    <w:abstractNumId w:val="27"/>
  </w:num>
  <w:num w:numId="3" w16cid:durableId="125124580">
    <w:abstractNumId w:val="15"/>
  </w:num>
  <w:num w:numId="4" w16cid:durableId="1089696161">
    <w:abstractNumId w:val="14"/>
  </w:num>
  <w:num w:numId="5" w16cid:durableId="883718776">
    <w:abstractNumId w:val="26"/>
  </w:num>
  <w:num w:numId="6" w16cid:durableId="1383752712">
    <w:abstractNumId w:val="17"/>
  </w:num>
  <w:num w:numId="7" w16cid:durableId="1855536023">
    <w:abstractNumId w:val="22"/>
  </w:num>
  <w:num w:numId="8" w16cid:durableId="1062564091">
    <w:abstractNumId w:val="7"/>
  </w:num>
  <w:num w:numId="9" w16cid:durableId="1255748302">
    <w:abstractNumId w:val="24"/>
  </w:num>
  <w:num w:numId="10" w16cid:durableId="583803152">
    <w:abstractNumId w:val="12"/>
  </w:num>
  <w:num w:numId="11" w16cid:durableId="1726566841">
    <w:abstractNumId w:val="25"/>
  </w:num>
  <w:num w:numId="12" w16cid:durableId="543297905">
    <w:abstractNumId w:val="9"/>
  </w:num>
  <w:num w:numId="13" w16cid:durableId="496305634">
    <w:abstractNumId w:val="2"/>
  </w:num>
  <w:num w:numId="14" w16cid:durableId="1512378896">
    <w:abstractNumId w:val="21"/>
  </w:num>
  <w:num w:numId="15" w16cid:durableId="302009350">
    <w:abstractNumId w:val="20"/>
  </w:num>
  <w:num w:numId="16" w16cid:durableId="739407917">
    <w:abstractNumId w:val="16"/>
  </w:num>
  <w:num w:numId="17" w16cid:durableId="306322740">
    <w:abstractNumId w:val="23"/>
  </w:num>
  <w:num w:numId="18" w16cid:durableId="1732850034">
    <w:abstractNumId w:val="1"/>
  </w:num>
  <w:num w:numId="19" w16cid:durableId="543834744">
    <w:abstractNumId w:val="8"/>
  </w:num>
  <w:num w:numId="20" w16cid:durableId="1879587401">
    <w:abstractNumId w:val="6"/>
  </w:num>
  <w:num w:numId="21" w16cid:durableId="743335279">
    <w:abstractNumId w:val="10"/>
  </w:num>
  <w:num w:numId="22" w16cid:durableId="178274430">
    <w:abstractNumId w:val="5"/>
  </w:num>
  <w:num w:numId="23" w16cid:durableId="869686495">
    <w:abstractNumId w:val="19"/>
  </w:num>
  <w:num w:numId="24" w16cid:durableId="818157261">
    <w:abstractNumId w:val="13"/>
  </w:num>
  <w:num w:numId="25" w16cid:durableId="77598098">
    <w:abstractNumId w:val="18"/>
  </w:num>
  <w:num w:numId="26" w16cid:durableId="1268198589">
    <w:abstractNumId w:val="30"/>
  </w:num>
  <w:num w:numId="27" w16cid:durableId="1094663509">
    <w:abstractNumId w:val="11"/>
  </w:num>
  <w:num w:numId="28" w16cid:durableId="1252816800">
    <w:abstractNumId w:val="28"/>
  </w:num>
  <w:num w:numId="29" w16cid:durableId="1899050726">
    <w:abstractNumId w:val="0"/>
  </w:num>
  <w:num w:numId="30" w16cid:durableId="204487906">
    <w:abstractNumId w:val="29"/>
  </w:num>
  <w:num w:numId="31" w16cid:durableId="133229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1"/>
    <w:rsid w:val="00031947"/>
    <w:rsid w:val="00091C64"/>
    <w:rsid w:val="000C771D"/>
    <w:rsid w:val="00194660"/>
    <w:rsid w:val="001D088B"/>
    <w:rsid w:val="001D10CC"/>
    <w:rsid w:val="00201BDA"/>
    <w:rsid w:val="00343B3C"/>
    <w:rsid w:val="00355B2A"/>
    <w:rsid w:val="0036354C"/>
    <w:rsid w:val="00374DF1"/>
    <w:rsid w:val="003F3669"/>
    <w:rsid w:val="0042213A"/>
    <w:rsid w:val="004940D9"/>
    <w:rsid w:val="004D42A6"/>
    <w:rsid w:val="0053263C"/>
    <w:rsid w:val="005A7A94"/>
    <w:rsid w:val="00663A6A"/>
    <w:rsid w:val="006A7536"/>
    <w:rsid w:val="006B01D5"/>
    <w:rsid w:val="006C6FC1"/>
    <w:rsid w:val="00706E10"/>
    <w:rsid w:val="007946E3"/>
    <w:rsid w:val="007B284D"/>
    <w:rsid w:val="007E558B"/>
    <w:rsid w:val="008D7427"/>
    <w:rsid w:val="009002CA"/>
    <w:rsid w:val="0093510A"/>
    <w:rsid w:val="009C22EB"/>
    <w:rsid w:val="00AA076A"/>
    <w:rsid w:val="00BB399F"/>
    <w:rsid w:val="00BB4D17"/>
    <w:rsid w:val="00C013B3"/>
    <w:rsid w:val="00C867A1"/>
    <w:rsid w:val="00CA225C"/>
    <w:rsid w:val="00CC0BB9"/>
    <w:rsid w:val="00D21487"/>
    <w:rsid w:val="00D66D8E"/>
    <w:rsid w:val="00DD301A"/>
    <w:rsid w:val="00E35226"/>
    <w:rsid w:val="00E73272"/>
    <w:rsid w:val="00FB2D50"/>
    <w:rsid w:val="00FB35D0"/>
    <w:rsid w:val="00FB3BD0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DAFF"/>
  <w15:chartTrackingRefBased/>
  <w15:docId w15:val="{CF7149DF-AB7E-4619-AF7B-649F67EE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1D5"/>
  </w:style>
  <w:style w:type="paragraph" w:styleId="1">
    <w:name w:val="heading 1"/>
    <w:basedOn w:val="a"/>
    <w:next w:val="a"/>
    <w:link w:val="10"/>
    <w:uiPriority w:val="9"/>
    <w:qFormat/>
    <w:rsid w:val="006C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F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F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F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F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F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F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F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F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FC1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6B01D5"/>
    <w:rPr>
      <w:b/>
      <w:bCs/>
    </w:rPr>
  </w:style>
  <w:style w:type="paragraph" w:styleId="af">
    <w:name w:val="Normal (Web)"/>
    <w:basedOn w:val="a"/>
    <w:uiPriority w:val="99"/>
    <w:unhideWhenUsed/>
    <w:rsid w:val="006B01D5"/>
    <w:rPr>
      <w:sz w:val="24"/>
      <w:szCs w:val="24"/>
    </w:rPr>
  </w:style>
  <w:style w:type="table" w:styleId="af0">
    <w:name w:val="Table Grid"/>
    <w:basedOn w:val="a1"/>
    <w:uiPriority w:val="39"/>
    <w:rsid w:val="00FB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10</cp:revision>
  <cp:lastPrinted>2025-04-23T11:21:00Z</cp:lastPrinted>
  <dcterms:created xsi:type="dcterms:W3CDTF">2025-04-15T02:12:00Z</dcterms:created>
  <dcterms:modified xsi:type="dcterms:W3CDTF">2025-11-28T05:34:00Z</dcterms:modified>
</cp:coreProperties>
</file>