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3550" w14:textId="77777777" w:rsidR="00E11540" w:rsidRPr="000D637A" w:rsidRDefault="00E11540" w:rsidP="00E11540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578E05C5" w14:textId="4A5A98F5" w:rsidR="00E11540" w:rsidRPr="000D637A" w:rsidRDefault="00E11540" w:rsidP="00E11540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 w:rsidR="00D85EB9">
        <w:rPr>
          <w:b/>
          <w:bCs/>
          <w:sz w:val="28"/>
          <w:szCs w:val="28"/>
        </w:rPr>
        <w:t>Економіка</w:t>
      </w:r>
      <w:r w:rsidRPr="000D637A">
        <w:rPr>
          <w:b/>
          <w:bCs/>
          <w:sz w:val="28"/>
          <w:szCs w:val="28"/>
        </w:rPr>
        <w:t>».</w:t>
      </w:r>
    </w:p>
    <w:p w14:paraId="7E8029E2" w14:textId="77777777" w:rsidR="00E11540" w:rsidRDefault="00E11540" w:rsidP="00E11540">
      <w:pPr>
        <w:ind w:firstLine="709"/>
        <w:jc w:val="both"/>
        <w:rPr>
          <w:sz w:val="28"/>
          <w:szCs w:val="28"/>
        </w:rPr>
      </w:pPr>
    </w:p>
    <w:p w14:paraId="15D3C2B5" w14:textId="3FF235B8" w:rsidR="00E11540" w:rsidRDefault="00E11540" w:rsidP="00925945">
      <w:pPr>
        <w:ind w:firstLine="709"/>
        <w:jc w:val="both"/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</w:pPr>
      <w:bookmarkStart w:id="1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1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Організація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освітнього процесу за ОПП «</w:t>
      </w:r>
      <w:r>
        <w:rPr>
          <w:sz w:val="28"/>
          <w:szCs w:val="28"/>
        </w:rPr>
        <w:t>Економіка</w:t>
      </w:r>
      <w:r w:rsidRPr="00BD13E7">
        <w:rPr>
          <w:sz w:val="28"/>
          <w:szCs w:val="28"/>
        </w:rPr>
        <w:t xml:space="preserve"> ».</w:t>
      </w:r>
      <w:r w:rsidRPr="00BC70D7">
        <w:rPr>
          <w:rFonts w:ascii="docs-Roboto" w:eastAsia="Times New Roman" w:hAnsi="docs-Roboto"/>
          <w:b/>
          <w:bCs/>
          <w:color w:val="FFFFFF"/>
          <w:kern w:val="0"/>
          <w:sz w:val="24"/>
          <w:szCs w:val="24"/>
          <w:lang w:eastAsia="uk-UA"/>
          <w14:ligatures w14:val="none"/>
        </w:rPr>
        <w:t xml:space="preserve"> </w:t>
      </w:r>
    </w:p>
    <w:p w14:paraId="77E15A1D" w14:textId="77777777" w:rsidR="00E11540" w:rsidRPr="008A6D7F" w:rsidRDefault="00E11540" w:rsidP="00E11540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  <w:r w:rsidRPr="008A6D7F">
        <w:rPr>
          <w:sz w:val="28"/>
          <w:szCs w:val="28"/>
        </w:rPr>
        <w:t xml:space="preserve">визначення рівня поінформованості </w:t>
      </w:r>
      <w:r>
        <w:rPr>
          <w:sz w:val="28"/>
          <w:szCs w:val="28"/>
        </w:rPr>
        <w:t>здобувачів освіти</w:t>
      </w:r>
      <w:r w:rsidRPr="008A6D7F">
        <w:rPr>
          <w:sz w:val="28"/>
          <w:szCs w:val="28"/>
        </w:rPr>
        <w:t xml:space="preserve"> щодо внутрішніх нормативних документів закладу освіти, оцінювання якості лекцій та практичних занять, забезпечення самостійної роботи, доступу до навчальних ресурсів, впровадження сучасних технологій та методів навчання, участі в науковій роботі, а також ефективності зворотного зв’язку між студентами та викладачами.</w:t>
      </w:r>
    </w:p>
    <w:p w14:paraId="1B4B0BDD" w14:textId="77777777" w:rsidR="00E11540" w:rsidRDefault="00E11540" w:rsidP="00E11540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2912E48B" w14:textId="77777777" w:rsidR="00E11540" w:rsidRPr="00F15410" w:rsidRDefault="00E11540" w:rsidP="00E11540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54D6785E" w14:textId="245A6429" w:rsidR="00E11540" w:rsidRDefault="00E11540" w:rsidP="00E11540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 xml:space="preserve">першого, другого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>
        <w:rPr>
          <w:sz w:val="28"/>
          <w:szCs w:val="28"/>
        </w:rPr>
        <w:t>Економіка».</w:t>
      </w:r>
      <w:r w:rsidRPr="00F15410">
        <w:rPr>
          <w:sz w:val="28"/>
          <w:szCs w:val="28"/>
        </w:rPr>
        <w:t xml:space="preserve"> </w:t>
      </w:r>
    </w:p>
    <w:p w14:paraId="37D5F308" w14:textId="7F25A847" w:rsidR="00E11540" w:rsidRDefault="00E11540" w:rsidP="00E11540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129AF29" wp14:editId="13B5B24B">
            <wp:simplePos x="0" y="0"/>
            <wp:positionH relativeFrom="column">
              <wp:posOffset>-70511</wp:posOffset>
            </wp:positionH>
            <wp:positionV relativeFrom="paragraph">
              <wp:posOffset>212030</wp:posOffset>
            </wp:positionV>
            <wp:extent cx="2545080" cy="1574165"/>
            <wp:effectExtent l="0" t="0" r="7620" b="6985"/>
            <wp:wrapTight wrapText="bothSides">
              <wp:wrapPolygon edited="0">
                <wp:start x="0" y="0"/>
                <wp:lineTo x="0" y="21434"/>
                <wp:lineTo x="21503" y="21434"/>
                <wp:lineTo x="21503" y="0"/>
                <wp:lineTo x="0" y="0"/>
              </wp:wrapPolygon>
            </wp:wrapTight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410">
        <w:rPr>
          <w:sz w:val="28"/>
          <w:szCs w:val="28"/>
        </w:rPr>
        <w:t xml:space="preserve">В опитуванні взяли участь </w:t>
      </w:r>
      <w:r>
        <w:rPr>
          <w:sz w:val="28"/>
          <w:szCs w:val="28"/>
        </w:rPr>
        <w:t>29</w:t>
      </w:r>
      <w:r w:rsidRPr="00F15410">
        <w:rPr>
          <w:sz w:val="28"/>
          <w:szCs w:val="28"/>
        </w:rPr>
        <w:t xml:space="preserve"> здобувачів</w:t>
      </w:r>
      <w:r>
        <w:rPr>
          <w:sz w:val="28"/>
          <w:szCs w:val="28"/>
        </w:rPr>
        <w:t xml:space="preserve"> освіти</w:t>
      </w:r>
    </w:p>
    <w:p w14:paraId="499A6392" w14:textId="5BC42262" w:rsidR="00EC74F5" w:rsidRPr="00EC74F5" w:rsidRDefault="00EC74F5" w:rsidP="00312DD9">
      <w:pPr>
        <w:ind w:left="36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1. Ознайомленість з внутрішніми нормативними документами</w:t>
      </w:r>
    </w:p>
    <w:p w14:paraId="42186681" w14:textId="098CF1D2" w:rsidR="00EC74F5" w:rsidRPr="00EC74F5" w:rsidRDefault="00EC74F5" w:rsidP="004D7500">
      <w:pPr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Абсолютна більшість студентів поінформована про свої права та обов’язки, а також інші аспекти освітнього процесу. Це свідчить про ефективну інформаційну роботу з боку адміністрації та викладацького складу.</w:t>
      </w:r>
    </w:p>
    <w:p w14:paraId="3D213416" w14:textId="1A10E2BF" w:rsidR="00EC74F5" w:rsidRPr="00EC74F5" w:rsidRDefault="00EC74F5" w:rsidP="004D7500">
      <w:pPr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Інституційна відкритість та доступність документів на належному рівні.</w:t>
      </w:r>
    </w:p>
    <w:p w14:paraId="7C5403CB" w14:textId="67B9F9DD" w:rsidR="00EC74F5" w:rsidRPr="00EC74F5" w:rsidRDefault="004D7500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D4D8E4E" wp14:editId="2BF45332">
            <wp:simplePos x="0" y="0"/>
            <wp:positionH relativeFrom="margin">
              <wp:align>left</wp:align>
            </wp:positionH>
            <wp:positionV relativeFrom="paragraph">
              <wp:posOffset>377441</wp:posOffset>
            </wp:positionV>
            <wp:extent cx="2722015" cy="1684020"/>
            <wp:effectExtent l="0" t="0" r="2540" b="0"/>
            <wp:wrapTight wrapText="bothSides">
              <wp:wrapPolygon edited="0">
                <wp:start x="0" y="0"/>
                <wp:lineTo x="0" y="21258"/>
                <wp:lineTo x="21469" y="21258"/>
                <wp:lineTo x="21469" y="0"/>
                <wp:lineTo x="0" y="0"/>
              </wp:wrapPolygon>
            </wp:wrapTight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01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74F5"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2. Оцінка якості та кількості лекцій з фахових дисциплін (шкала 1–10)</w:t>
      </w:r>
    </w:p>
    <w:p w14:paraId="16B310F6" w14:textId="5EEA98B2" w:rsidR="00EC74F5" w:rsidRPr="00EC74F5" w:rsidRDefault="00EC74F5" w:rsidP="004D7500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90% респондентів оцінили лекції на 8–10 балів, що свідчить про достатній обсяг лекційного матеріалу, його актуальність, доступність викладу та професійність лекторів.</w:t>
      </w:r>
      <w:r w:rsidR="004D7500" w:rsidRPr="004D750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Якість лекцій на високому рівні, зауваження мінімальні.</w:t>
      </w:r>
    </w:p>
    <w:p w14:paraId="4EEA39A3" w14:textId="68F0C88B" w:rsidR="00EC74F5" w:rsidRPr="00EC74F5" w:rsidRDefault="00EC74F5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AB20772" w14:textId="702AF017" w:rsidR="00EC74F5" w:rsidRPr="00EC74F5" w:rsidRDefault="00EC74F5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3. Оцінка практичних та лабораторних занять (шкала 1–10)</w:t>
      </w:r>
    </w:p>
    <w:p w14:paraId="75D46A53" w14:textId="3A49A063" w:rsidR="00EC74F5" w:rsidRPr="00BA1F23" w:rsidRDefault="00BA1F23" w:rsidP="004D7500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916EDA3" wp14:editId="1F577DF3">
            <wp:simplePos x="0" y="0"/>
            <wp:positionH relativeFrom="margin">
              <wp:posOffset>-137160</wp:posOffset>
            </wp:positionH>
            <wp:positionV relativeFrom="paragraph">
              <wp:posOffset>-420370</wp:posOffset>
            </wp:positionV>
            <wp:extent cx="247650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434" y="21224"/>
                <wp:lineTo x="21434" y="0"/>
                <wp:lineTo x="0" y="0"/>
              </wp:wrapPolygon>
            </wp:wrapTight>
            <wp:docPr id="732868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87% студентів поставили оцінку 8 і вище. Це демонструє задоволення якістю практичних занять — вони актуальні, прикладні, технічно </w:t>
      </w:r>
      <w:r w:rsidR="00EC74F5" w:rsidRPr="00BA1F23">
        <w:rPr>
          <w:rFonts w:eastAsia="Times New Roman"/>
          <w:kern w:val="0"/>
          <w:sz w:val="28"/>
          <w:szCs w:val="28"/>
          <w:lang w:eastAsia="uk-UA"/>
          <w14:ligatures w14:val="none"/>
        </w:rPr>
        <w:t>забезпечені</w:t>
      </w:r>
      <w:r w:rsidR="004D7500" w:rsidRPr="00BA1F23">
        <w:rPr>
          <w:rFonts w:eastAsia="Times New Roman"/>
          <w:kern w:val="0"/>
          <w:sz w:val="28"/>
          <w:szCs w:val="28"/>
          <w:lang w:eastAsia="uk-UA"/>
          <w14:ligatures w14:val="none"/>
        </w:rPr>
        <w:t>, п</w:t>
      </w:r>
      <w:r w:rsidR="00EC74F5" w:rsidRPr="00BA1F23">
        <w:rPr>
          <w:rFonts w:eastAsia="Times New Roman"/>
          <w:kern w:val="0"/>
          <w:sz w:val="28"/>
          <w:szCs w:val="28"/>
          <w:lang w:eastAsia="uk-UA"/>
          <w14:ligatures w14:val="none"/>
        </w:rPr>
        <w:t>рактичні заняття проводяться ефективно та у відповідності до вимог освітньої програми.</w:t>
      </w:r>
    </w:p>
    <w:p w14:paraId="6A89A070" w14:textId="16D75EFE" w:rsidR="00EC74F5" w:rsidRPr="00EC74F5" w:rsidRDefault="002B1C34" w:rsidP="002B1C34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36B1C02" wp14:editId="7AD1EC53">
            <wp:simplePos x="0" y="0"/>
            <wp:positionH relativeFrom="margin">
              <wp:align>left</wp:align>
            </wp:positionH>
            <wp:positionV relativeFrom="paragraph">
              <wp:posOffset>549275</wp:posOffset>
            </wp:positionV>
            <wp:extent cx="2682240" cy="1658620"/>
            <wp:effectExtent l="0" t="0" r="3810" b="0"/>
            <wp:wrapTight wrapText="bothSides">
              <wp:wrapPolygon edited="0">
                <wp:start x="0" y="0"/>
                <wp:lineTo x="0" y="21335"/>
                <wp:lineTo x="21477" y="21335"/>
                <wp:lineTo x="21477" y="0"/>
                <wp:lineTo x="0" y="0"/>
              </wp:wrapPolygon>
            </wp:wrapTight>
            <wp:docPr id="266469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4. Час на практичні заняття та самостійну роботу</w:t>
      </w:r>
    </w:p>
    <w:p w14:paraId="7D72B773" w14:textId="23568F6B" w:rsidR="00EC74F5" w:rsidRPr="00EC74F5" w:rsidRDefault="00EC74F5" w:rsidP="002B1C34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Переважна більшість студентів вважає, що має достатньо часу на виконання практичних завдань і самостійну роботу. Це позитивно характеризує організацію навчального процесу — рівномірне навантаження, чіткий графік.</w:t>
      </w:r>
      <w:r w:rsidR="002B1C3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Проаналізувати думку 6,5% студентів, що дали негативну відповідь</w:t>
      </w:r>
      <w:r w:rsidR="002B1C34" w:rsidRPr="002B1C3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варто оптимізувати навантаження з окремих дисциплін або врахувати складність завдань.</w:t>
      </w:r>
    </w:p>
    <w:p w14:paraId="2CE8783D" w14:textId="77777777" w:rsidR="00EC74F5" w:rsidRPr="00EC74F5" w:rsidRDefault="00EC74F5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5. Наявність і якість навчальної літератури в бібліотеці/репозитарії</w:t>
      </w:r>
    </w:p>
    <w:p w14:paraId="64709C44" w14:textId="32B82EE8" w:rsidR="00EC74F5" w:rsidRPr="00EC74F5" w:rsidRDefault="00EC74F5" w:rsidP="002B1C34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84% студентів високо оцінили наявність літератури. Це свідчить про системну роботу бібліотеки та сайту коледжу, що надають доступ до актуальних джерел.</w:t>
      </w:r>
    </w:p>
    <w:p w14:paraId="4F27C920" w14:textId="43997F2B" w:rsidR="00EC74F5" w:rsidRPr="00EC74F5" w:rsidRDefault="002B1C34" w:rsidP="002B1C34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2B1C34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6E67175A" wp14:editId="73069381">
            <wp:simplePos x="0" y="0"/>
            <wp:positionH relativeFrom="column">
              <wp:posOffset>146685</wp:posOffset>
            </wp:positionH>
            <wp:positionV relativeFrom="paragraph">
              <wp:posOffset>11430</wp:posOffset>
            </wp:positionV>
            <wp:extent cx="2773680" cy="1715770"/>
            <wp:effectExtent l="0" t="0" r="7620" b="0"/>
            <wp:wrapTight wrapText="bothSides">
              <wp:wrapPolygon edited="0">
                <wp:start x="0" y="0"/>
                <wp:lineTo x="0" y="21344"/>
                <wp:lineTo x="21511" y="21344"/>
                <wp:lineTo x="21511" y="0"/>
                <wp:lineTo x="0" y="0"/>
              </wp:wrapPolygon>
            </wp:wrapTight>
            <wp:docPr id="12465788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Навчальні матеріали доступні, електронні ресурси використовуються.</w:t>
      </w:r>
    </w:p>
    <w:p w14:paraId="0AB313E6" w14:textId="02818E1E" w:rsidR="00EC74F5" w:rsidRDefault="00EC74F5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43EBA9D" w14:textId="77777777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1AE6F4F" w14:textId="77777777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47699F15" w14:textId="77777777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C501051" w14:textId="226A2795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250D9D3" w14:textId="77777777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30F169B" w14:textId="32EAD60A" w:rsidR="00EC74F5" w:rsidRPr="00EC74F5" w:rsidRDefault="002B1C34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3506C15" wp14:editId="1341E1C6">
            <wp:simplePos x="0" y="0"/>
            <wp:positionH relativeFrom="margin">
              <wp:align>left</wp:align>
            </wp:positionH>
            <wp:positionV relativeFrom="paragraph">
              <wp:posOffset>508000</wp:posOffset>
            </wp:positionV>
            <wp:extent cx="3101340" cy="1918335"/>
            <wp:effectExtent l="0" t="0" r="3810" b="5715"/>
            <wp:wrapTight wrapText="bothSides">
              <wp:wrapPolygon edited="0">
                <wp:start x="0" y="0"/>
                <wp:lineTo x="0" y="21450"/>
                <wp:lineTo x="21494" y="21450"/>
                <wp:lineTo x="21494" y="0"/>
                <wp:lineTo x="0" y="0"/>
              </wp:wrapPolygon>
            </wp:wrapTight>
            <wp:docPr id="15016814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6. Можливості для самостійного вивчення дисциплін</w:t>
      </w:r>
    </w:p>
    <w:p w14:paraId="0155F221" w14:textId="71C3E179" w:rsidR="00EC74F5" w:rsidRPr="00EC74F5" w:rsidRDefault="00EC74F5" w:rsidP="002B1C34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Переважна більшість студентів має необхідний доступ до навчальних матеріалів, підтримку викладачів, а також умови для самостійного навчання.</w:t>
      </w:r>
      <w:r w:rsidR="002B1C3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>У коледжі створено відповідне середовище для самоосвіти.</w:t>
      </w:r>
    </w:p>
    <w:p w14:paraId="1D5B77B5" w14:textId="1D37E0F8" w:rsidR="00EC74F5" w:rsidRDefault="00EC74F5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3677A2C0" w14:textId="706C9105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CDCF697" w14:textId="77777777" w:rsidR="002B1C34" w:rsidRDefault="002B1C34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BA91588" w14:textId="77777777" w:rsidR="00BA1F23" w:rsidRDefault="00BA1F23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07DD6039" w14:textId="77777777" w:rsidR="00BA1F23" w:rsidRDefault="00BA1F23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71432B5" w14:textId="77777777" w:rsidR="00BA1F23" w:rsidRPr="00EC74F5" w:rsidRDefault="00BA1F23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90C1FE9" w14:textId="3E93B5A5" w:rsidR="00EC74F5" w:rsidRPr="00EC74F5" w:rsidRDefault="00EC74F5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7. Використання сучасних технологій та інтерактивних методів</w:t>
      </w:r>
    </w:p>
    <w:p w14:paraId="09588076" w14:textId="04CE525E" w:rsidR="00EC74F5" w:rsidRPr="00EC74F5" w:rsidRDefault="002B1C34" w:rsidP="002B1C34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340FDAF" wp14:editId="32BA2442">
            <wp:simplePos x="0" y="0"/>
            <wp:positionH relativeFrom="column">
              <wp:posOffset>131445</wp:posOffset>
            </wp:positionH>
            <wp:positionV relativeFrom="paragraph">
              <wp:posOffset>8890</wp:posOffset>
            </wp:positionV>
            <wp:extent cx="2895600" cy="1791335"/>
            <wp:effectExtent l="0" t="0" r="0" b="0"/>
            <wp:wrapTight wrapText="bothSides">
              <wp:wrapPolygon edited="0">
                <wp:start x="0" y="0"/>
                <wp:lineTo x="0" y="21363"/>
                <wp:lineTo x="21458" y="21363"/>
                <wp:lineTo x="21458" y="0"/>
                <wp:lineTo x="0" y="0"/>
              </wp:wrapPolygon>
            </wp:wrapTight>
            <wp:docPr id="16526572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Більшість студентів відзначає активне застосування цифрових технологій (відеоуроки, платформи Moodle/Google Classroom), а також інтерактивних методів (тести, опитування, кейси).</w:t>
      </w:r>
      <w:r w:rsidRPr="002B1C3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Викладачі володіють сучасними інструментами навчання. Проте одинична низька оцінка вказує на можливі технічні труднощі або недоступність певних інструментів.</w:t>
      </w:r>
    </w:p>
    <w:p w14:paraId="4BDDCFAE" w14:textId="21DC0AEA" w:rsidR="00EC74F5" w:rsidRPr="00EC74F5" w:rsidRDefault="00F2395B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4F54EB9" wp14:editId="347559B5">
            <wp:simplePos x="0" y="0"/>
            <wp:positionH relativeFrom="column">
              <wp:posOffset>139065</wp:posOffset>
            </wp:positionH>
            <wp:positionV relativeFrom="paragraph">
              <wp:posOffset>260350</wp:posOffset>
            </wp:positionV>
            <wp:extent cx="3025140" cy="1871345"/>
            <wp:effectExtent l="0" t="0" r="3810" b="0"/>
            <wp:wrapTight wrapText="bothSides">
              <wp:wrapPolygon edited="0">
                <wp:start x="0" y="0"/>
                <wp:lineTo x="0" y="21329"/>
                <wp:lineTo x="21491" y="21329"/>
                <wp:lineTo x="21491" y="0"/>
                <wp:lineTo x="0" y="0"/>
              </wp:wrapPolygon>
            </wp:wrapTight>
            <wp:docPr id="61549460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8. Участь у науково-дослідній роботі</w:t>
      </w:r>
    </w:p>
    <w:p w14:paraId="05AB89C2" w14:textId="2C5F01F1" w:rsidR="00EC74F5" w:rsidRPr="00EC74F5" w:rsidRDefault="00EC74F5" w:rsidP="00F2395B">
      <w:pPr>
        <w:spacing w:before="100" w:beforeAutospacing="1" w:after="100" w:afterAutospacing="1"/>
        <w:ind w:left="720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Висока залученість студентів у дослідницькі проєкти, конкурси, гуртки. Це свідчить про  підтримку інтелектуального зростання.</w:t>
      </w:r>
    </w:p>
    <w:p w14:paraId="7C660252" w14:textId="53DA55E3" w:rsidR="00EC74F5" w:rsidRPr="00EC74F5" w:rsidRDefault="00EC74F5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26FE5E55" w14:textId="77777777" w:rsidR="00312DD9" w:rsidRDefault="00312DD9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07403D7" w14:textId="547F5870" w:rsidR="00EC74F5" w:rsidRPr="00EC74F5" w:rsidRDefault="00BA1F23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03FA6E2F" wp14:editId="10AAC3D3">
            <wp:simplePos x="0" y="0"/>
            <wp:positionH relativeFrom="margin">
              <wp:posOffset>-135255</wp:posOffset>
            </wp:positionH>
            <wp:positionV relativeFrom="paragraph">
              <wp:posOffset>300355</wp:posOffset>
            </wp:positionV>
            <wp:extent cx="2842260" cy="1758315"/>
            <wp:effectExtent l="0" t="0" r="0" b="0"/>
            <wp:wrapTight wrapText="bothSides">
              <wp:wrapPolygon edited="0">
                <wp:start x="0" y="0"/>
                <wp:lineTo x="0" y="21296"/>
                <wp:lineTo x="21426" y="21296"/>
                <wp:lineTo x="21426" y="0"/>
                <wp:lineTo x="0" y="0"/>
              </wp:wrapPolygon>
            </wp:wrapTight>
            <wp:docPr id="65820657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9. Регулярність і якість оцінювання знань</w:t>
      </w:r>
    </w:p>
    <w:p w14:paraId="459A68EB" w14:textId="3253D0D5" w:rsidR="00EC74F5" w:rsidRPr="00EC74F5" w:rsidRDefault="00EC74F5" w:rsidP="00F2395B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Система оцінювання є прозорою, зрозумілою, ґрунтується на об’єктивних критеріях.</w:t>
      </w:r>
      <w:r w:rsidR="00F2395B" w:rsidRPr="00F2395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Зворотний зв’язок викладачів ефективний, застосовується різнопланове оцінювання</w:t>
      </w:r>
      <w:r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4FB7CE6B" w14:textId="74A50825" w:rsidR="00EC74F5" w:rsidRDefault="00EC74F5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155B7A23" w14:textId="77777777" w:rsidR="00F2395B" w:rsidRDefault="00F2395B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1273DEA" w14:textId="77777777" w:rsidR="00F2395B" w:rsidRPr="00EC74F5" w:rsidRDefault="00F2395B" w:rsidP="00EC74F5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5976D0E9" w14:textId="0027F580" w:rsidR="00EC74F5" w:rsidRPr="00EC74F5" w:rsidRDefault="00EC74F5" w:rsidP="00EC74F5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EC74F5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>10. Рівень взаємодії з викладачами</w:t>
      </w:r>
    </w:p>
    <w:p w14:paraId="1767931A" w14:textId="1801E1C8" w:rsidR="00EC74F5" w:rsidRPr="00EC74F5" w:rsidRDefault="00BA1F23" w:rsidP="00F2395B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A1DB58B" wp14:editId="159EF234">
            <wp:simplePos x="0" y="0"/>
            <wp:positionH relativeFrom="column">
              <wp:posOffset>17145</wp:posOffset>
            </wp:positionH>
            <wp:positionV relativeFrom="paragraph">
              <wp:posOffset>10795</wp:posOffset>
            </wp:positionV>
            <wp:extent cx="2461260" cy="1522730"/>
            <wp:effectExtent l="0" t="0" r="0" b="1270"/>
            <wp:wrapTight wrapText="bothSides">
              <wp:wrapPolygon edited="0">
                <wp:start x="0" y="0"/>
                <wp:lineTo x="0" y="21348"/>
                <wp:lineTo x="21399" y="21348"/>
                <wp:lineTo x="21399" y="0"/>
                <wp:lineTo x="0" y="0"/>
              </wp:wrapPolygon>
            </wp:wrapTight>
            <wp:docPr id="12259142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4F5" w:rsidRPr="00EC74F5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Загалом рівень комунікації високий. Студенти відчувають підтримку з боку викладачів, мають можливість звертатися за консультацією. Проте 16,1% оцінили взаємодію на рівні «задовільно», що свідчить про потребу в покращенні комунікацій з окремими викладачами.</w:t>
      </w:r>
    </w:p>
    <w:p w14:paraId="0A9EF1F1" w14:textId="62B8C23C" w:rsidR="00F2395B" w:rsidRDefault="00E11540" w:rsidP="00F2395B">
      <w:pPr>
        <w:ind w:firstLine="709"/>
        <w:jc w:val="both"/>
        <w:rPr>
          <w:sz w:val="28"/>
          <w:szCs w:val="28"/>
        </w:rPr>
      </w:pPr>
      <w:bookmarkStart w:id="2" w:name="_Hlk215118795"/>
      <w:r w:rsidRPr="009D1A9E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проведеного аналізу демонструють виважені та обґрунтовані висновки щодо поточного стану освітнього середовища</w:t>
      </w:r>
      <w:bookmarkEnd w:id="2"/>
      <w:r w:rsidR="00925945">
        <w:rPr>
          <w:rFonts w:eastAsia="Times New Roman"/>
          <w:kern w:val="0"/>
          <w:sz w:val="28"/>
          <w:szCs w:val="28"/>
          <w:lang w:eastAsia="uk-UA"/>
          <w14:ligatures w14:val="none"/>
        </w:rPr>
        <w:t>:</w:t>
      </w:r>
    </w:p>
    <w:p w14:paraId="7B831C77" w14:textId="13B99630" w:rsidR="00EC74F5" w:rsidRPr="00EC74F5" w:rsidRDefault="000375D9" w:rsidP="000375D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1.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Організація освітнього процесу в коледжі є ефективною, структурованою та орієнтованою на студента. Проте певні напрями потребують точкового вдосконалення, зокрема:</w:t>
      </w:r>
    </w:p>
    <w:p w14:paraId="6FE80121" w14:textId="305B7A91" w:rsidR="00EC74F5" w:rsidRPr="00EC74F5" w:rsidRDefault="000375D9" w:rsidP="00F2395B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2.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Індивідуалізація підходу до студентів із нижчими оцінками</w:t>
      </w:r>
    </w:p>
    <w:p w14:paraId="32805197" w14:textId="00988E49" w:rsidR="00EC74F5" w:rsidRPr="00EC74F5" w:rsidRDefault="00925945" w:rsidP="00F2395B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3.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Розширення науково-дослідницьких ініціатив</w:t>
      </w:r>
    </w:p>
    <w:p w14:paraId="7FC6D868" w14:textId="005556B1" w:rsidR="00EC74F5" w:rsidRPr="00EC74F5" w:rsidRDefault="00925945" w:rsidP="00F2395B">
      <w:pPr>
        <w:spacing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4. </w:t>
      </w:r>
      <w:r w:rsidR="00EC74F5" w:rsidRPr="00EC74F5">
        <w:rPr>
          <w:rFonts w:eastAsia="Times New Roman"/>
          <w:kern w:val="0"/>
          <w:sz w:val="28"/>
          <w:szCs w:val="28"/>
          <w:lang w:eastAsia="uk-UA"/>
          <w14:ligatures w14:val="none"/>
        </w:rPr>
        <w:t>Удосконалення цифрової взаємодії на рівні окремих викладачів</w:t>
      </w:r>
    </w:p>
    <w:p w14:paraId="7BDB2DF1" w14:textId="77777777" w:rsidR="00BA1F23" w:rsidRPr="00CE738D" w:rsidRDefault="00BA1F23" w:rsidP="00CE738D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sectPr w:rsidR="00BA1F23" w:rsidRPr="00CE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71"/>
    <w:multiLevelType w:val="hybridMultilevel"/>
    <w:tmpl w:val="A6081ADE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062"/>
    <w:multiLevelType w:val="multilevel"/>
    <w:tmpl w:val="7D64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A4A64"/>
    <w:multiLevelType w:val="multilevel"/>
    <w:tmpl w:val="3C6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F5496"/>
    <w:multiLevelType w:val="multilevel"/>
    <w:tmpl w:val="EE16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64" w:hanging="384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95951"/>
    <w:multiLevelType w:val="multilevel"/>
    <w:tmpl w:val="755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21AB7"/>
    <w:multiLevelType w:val="multilevel"/>
    <w:tmpl w:val="3B58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45276"/>
    <w:multiLevelType w:val="multilevel"/>
    <w:tmpl w:val="A1D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90C35"/>
    <w:multiLevelType w:val="hybridMultilevel"/>
    <w:tmpl w:val="52D890A4"/>
    <w:lvl w:ilvl="0" w:tplc="9E5810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339B7"/>
    <w:multiLevelType w:val="multilevel"/>
    <w:tmpl w:val="744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110A8"/>
    <w:multiLevelType w:val="multilevel"/>
    <w:tmpl w:val="81D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56352">
    <w:abstractNumId w:val="3"/>
  </w:num>
  <w:num w:numId="2" w16cid:durableId="369501168">
    <w:abstractNumId w:val="5"/>
  </w:num>
  <w:num w:numId="3" w16cid:durableId="1976062042">
    <w:abstractNumId w:val="7"/>
  </w:num>
  <w:num w:numId="4" w16cid:durableId="948393758">
    <w:abstractNumId w:val="4"/>
  </w:num>
  <w:num w:numId="5" w16cid:durableId="1685786395">
    <w:abstractNumId w:val="8"/>
  </w:num>
  <w:num w:numId="6" w16cid:durableId="304087636">
    <w:abstractNumId w:val="2"/>
  </w:num>
  <w:num w:numId="7" w16cid:durableId="1327442334">
    <w:abstractNumId w:val="9"/>
  </w:num>
  <w:num w:numId="8" w16cid:durableId="1392118441">
    <w:abstractNumId w:val="1"/>
  </w:num>
  <w:num w:numId="9" w16cid:durableId="1859854169">
    <w:abstractNumId w:val="6"/>
  </w:num>
  <w:num w:numId="10" w16cid:durableId="39455337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C"/>
    <w:rsid w:val="000375D9"/>
    <w:rsid w:val="00083EAF"/>
    <w:rsid w:val="000948EC"/>
    <w:rsid w:val="000D133D"/>
    <w:rsid w:val="000F3799"/>
    <w:rsid w:val="0012516E"/>
    <w:rsid w:val="001308F2"/>
    <w:rsid w:val="00231134"/>
    <w:rsid w:val="002823DC"/>
    <w:rsid w:val="002B1C34"/>
    <w:rsid w:val="002D79B9"/>
    <w:rsid w:val="00312DD9"/>
    <w:rsid w:val="003A7815"/>
    <w:rsid w:val="003D50A9"/>
    <w:rsid w:val="00402932"/>
    <w:rsid w:val="0042039D"/>
    <w:rsid w:val="004A6B83"/>
    <w:rsid w:val="004A76AF"/>
    <w:rsid w:val="004D7500"/>
    <w:rsid w:val="0053263C"/>
    <w:rsid w:val="00594A47"/>
    <w:rsid w:val="005A29DD"/>
    <w:rsid w:val="005A7A94"/>
    <w:rsid w:val="005C76E6"/>
    <w:rsid w:val="00615776"/>
    <w:rsid w:val="00654501"/>
    <w:rsid w:val="00665468"/>
    <w:rsid w:val="006765D8"/>
    <w:rsid w:val="00750C57"/>
    <w:rsid w:val="0075438F"/>
    <w:rsid w:val="0079078E"/>
    <w:rsid w:val="007B284D"/>
    <w:rsid w:val="007E4753"/>
    <w:rsid w:val="007E4B71"/>
    <w:rsid w:val="007E558B"/>
    <w:rsid w:val="007F050F"/>
    <w:rsid w:val="007F388D"/>
    <w:rsid w:val="00853D82"/>
    <w:rsid w:val="0086594C"/>
    <w:rsid w:val="008A63D6"/>
    <w:rsid w:val="008A6D7F"/>
    <w:rsid w:val="008D7427"/>
    <w:rsid w:val="009002CA"/>
    <w:rsid w:val="00925945"/>
    <w:rsid w:val="00930107"/>
    <w:rsid w:val="0093510A"/>
    <w:rsid w:val="009C22EB"/>
    <w:rsid w:val="00A942FE"/>
    <w:rsid w:val="00AA71DB"/>
    <w:rsid w:val="00B0553A"/>
    <w:rsid w:val="00B26A16"/>
    <w:rsid w:val="00B55D64"/>
    <w:rsid w:val="00B839A1"/>
    <w:rsid w:val="00BA1F23"/>
    <w:rsid w:val="00BE6492"/>
    <w:rsid w:val="00C127CC"/>
    <w:rsid w:val="00C45047"/>
    <w:rsid w:val="00CA225C"/>
    <w:rsid w:val="00CC7CE7"/>
    <w:rsid w:val="00CE738D"/>
    <w:rsid w:val="00CF0D61"/>
    <w:rsid w:val="00CF69EE"/>
    <w:rsid w:val="00D443C2"/>
    <w:rsid w:val="00D85EB9"/>
    <w:rsid w:val="00DD301A"/>
    <w:rsid w:val="00DF5D7F"/>
    <w:rsid w:val="00E11540"/>
    <w:rsid w:val="00E72DFD"/>
    <w:rsid w:val="00EA2BDE"/>
    <w:rsid w:val="00EC74F5"/>
    <w:rsid w:val="00F2395B"/>
    <w:rsid w:val="00F3510A"/>
    <w:rsid w:val="00F85E10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E67B"/>
  <w15:chartTrackingRefBased/>
  <w15:docId w15:val="{0DB0C197-12A0-40D0-A12E-8C1F8E27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32"/>
  </w:style>
  <w:style w:type="paragraph" w:styleId="1">
    <w:name w:val="heading 1"/>
    <w:basedOn w:val="a"/>
    <w:next w:val="a"/>
    <w:link w:val="10"/>
    <w:uiPriority w:val="9"/>
    <w:qFormat/>
    <w:rsid w:val="0028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2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3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3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3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3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823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3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3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3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3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3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3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3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3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23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2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2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3D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E6492"/>
    <w:rPr>
      <w:sz w:val="24"/>
      <w:szCs w:val="24"/>
    </w:rPr>
  </w:style>
  <w:style w:type="character" w:styleId="af">
    <w:name w:val="Strong"/>
    <w:basedOn w:val="a0"/>
    <w:uiPriority w:val="22"/>
    <w:qFormat/>
    <w:rsid w:val="007E4753"/>
    <w:rPr>
      <w:b/>
      <w:bCs/>
    </w:rPr>
  </w:style>
  <w:style w:type="table" w:styleId="af0">
    <w:name w:val="Table Grid"/>
    <w:basedOn w:val="a1"/>
    <w:uiPriority w:val="39"/>
    <w:rsid w:val="004A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2909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6</cp:revision>
  <cp:lastPrinted>2025-04-23T11:24:00Z</cp:lastPrinted>
  <dcterms:created xsi:type="dcterms:W3CDTF">2025-04-16T12:06:00Z</dcterms:created>
  <dcterms:modified xsi:type="dcterms:W3CDTF">2025-11-28T05:35:00Z</dcterms:modified>
</cp:coreProperties>
</file>