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FF6E" w14:textId="77777777" w:rsidR="00D103CF" w:rsidRPr="000D637A" w:rsidRDefault="00D103CF" w:rsidP="00D103CF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4611E864" w14:textId="77777777" w:rsidR="00D103CF" w:rsidRDefault="00D103CF" w:rsidP="00D103CF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</w:t>
      </w:r>
    </w:p>
    <w:p w14:paraId="76F80398" w14:textId="77777777" w:rsidR="00D103CF" w:rsidRDefault="00D103CF" w:rsidP="00D103CF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освітньо-професійної програми </w:t>
      </w:r>
    </w:p>
    <w:p w14:paraId="380D1E78" w14:textId="07C6F6D5" w:rsidR="00D103CF" w:rsidRPr="000D637A" w:rsidRDefault="00D103CF" w:rsidP="00D103CF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«</w:t>
      </w:r>
      <w:r w:rsidRPr="00D103CF">
        <w:rPr>
          <w:b/>
          <w:bCs/>
          <w:sz w:val="28"/>
          <w:szCs w:val="28"/>
        </w:rPr>
        <w:t>Підприємництво торгівля та біржова діяльність».</w:t>
      </w:r>
    </w:p>
    <w:p w14:paraId="6A56A8C6" w14:textId="77777777" w:rsidR="00D103CF" w:rsidRDefault="00D103CF" w:rsidP="00D103CF">
      <w:pPr>
        <w:ind w:firstLine="709"/>
        <w:jc w:val="both"/>
        <w:rPr>
          <w:sz w:val="28"/>
          <w:szCs w:val="28"/>
        </w:rPr>
      </w:pPr>
    </w:p>
    <w:p w14:paraId="1995A333" w14:textId="0DC50B4E" w:rsidR="00D103CF" w:rsidRPr="001D541E" w:rsidRDefault="00D103CF" w:rsidP="00D103CF">
      <w:pPr>
        <w:ind w:firstLine="709"/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1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1"/>
      <w:r>
        <w:rPr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Кадрове забезпечення реалізації освітньо-професійної програми «</w:t>
      </w:r>
      <w:r w:rsidRPr="00B15AD4">
        <w:rPr>
          <w:sz w:val="28"/>
          <w:szCs w:val="28"/>
        </w:rPr>
        <w:t>Підприємництво торгівля та біржова діяльність</w:t>
      </w:r>
      <w:r w:rsidRPr="00242408">
        <w:rPr>
          <w:sz w:val="28"/>
          <w:szCs w:val="28"/>
        </w:rPr>
        <w:t xml:space="preserve">» </w:t>
      </w:r>
    </w:p>
    <w:p w14:paraId="1CA2AB41" w14:textId="77777777" w:rsidR="00D103CF" w:rsidRPr="008A6D7F" w:rsidRDefault="00D103CF" w:rsidP="00D103CF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3C1570">
        <w:rPr>
          <w:sz w:val="28"/>
          <w:szCs w:val="28"/>
        </w:rPr>
        <w:t>визначити рівень професійної підготовки викладачів, ефективність комунікації зі студентами, ставлення до оновлення навчального матеріалу та готовність до дистанційного навчання</w:t>
      </w:r>
    </w:p>
    <w:p w14:paraId="27909A48" w14:textId="77777777" w:rsidR="00D103CF" w:rsidRPr="00F15410" w:rsidRDefault="00D103CF" w:rsidP="00D103CF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717B8270" w14:textId="77777777" w:rsidR="00D103CF" w:rsidRDefault="00D103CF" w:rsidP="00D103CF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2A47EB10" w14:textId="075DFDFD" w:rsidR="00D103CF" w:rsidRDefault="00D103CF" w:rsidP="00D103CF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першого, другого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Pr="00B15AD4">
        <w:rPr>
          <w:sz w:val="28"/>
          <w:szCs w:val="28"/>
        </w:rPr>
        <w:t>Підприємництво торгівля та біржова діяльність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</w:p>
    <w:p w14:paraId="11EE5B42" w14:textId="634B7623" w:rsidR="002B08CB" w:rsidRPr="002B08CB" w:rsidRDefault="00D103CF" w:rsidP="00D103C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В опитуванні взяли участь </w:t>
      </w:r>
      <w:r>
        <w:rPr>
          <w:sz w:val="28"/>
          <w:szCs w:val="28"/>
        </w:rPr>
        <w:t xml:space="preserve">8 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>ів</w:t>
      </w:r>
      <w:r>
        <w:rPr>
          <w:sz w:val="28"/>
          <w:szCs w:val="28"/>
        </w:rPr>
        <w:t xml:space="preserve"> освіти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FE9181D" w14:textId="7ECC3471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1. Професійна компетентність викладачів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405"/>
      </w:tblGrid>
      <w:tr w:rsidR="002B08CB" w:rsidRPr="002B08CB" w14:paraId="09562343" w14:textId="77777777" w:rsidTr="00F115DA">
        <w:trPr>
          <w:tblHeader/>
          <w:tblCellSpacing w:w="15" w:type="dxa"/>
        </w:trPr>
        <w:tc>
          <w:tcPr>
            <w:tcW w:w="0" w:type="auto"/>
            <w:vAlign w:val="center"/>
          </w:tcPr>
          <w:p w14:paraId="2A1DA976" w14:textId="52289603" w:rsidR="002B08CB" w:rsidRPr="002B08CB" w:rsidRDefault="002B08CB" w:rsidP="000779B2">
            <w:pPr>
              <w:jc w:val="both"/>
              <w:rPr>
                <w:rFonts w:eastAsia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FADF52" w14:textId="68083113" w:rsidR="002B08CB" w:rsidRPr="002B08CB" w:rsidRDefault="00F115DA" w:rsidP="000779B2">
            <w:pPr>
              <w:jc w:val="both"/>
              <w:rPr>
                <w:rFonts w:eastAsia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D4F8D4E" wp14:editId="096A6926">
                  <wp:extent cx="4011283" cy="2480950"/>
                  <wp:effectExtent l="0" t="0" r="8890" b="0"/>
                  <wp:docPr id="209440429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437" cy="248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627F7" w14:textId="35D74CA9" w:rsidR="002B08CB" w:rsidRPr="00D103CF" w:rsidRDefault="00D103CF" w:rsidP="00D103CF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2" w:name="_Hlk222856733"/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</w:t>
      </w:r>
      <w:r w:rsidR="002B08CB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2"/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п</w:t>
      </w:r>
      <w:r w:rsidR="002B08CB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онад 7</w:t>
      </w:r>
      <w:r w:rsidR="00F115DA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5</w:t>
      </w:r>
      <w:r w:rsidR="002B08CB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студентів вважають викладачів повністю компетентними. Ще майже </w:t>
      </w:r>
      <w:r w:rsidR="00F115DA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25</w:t>
      </w:r>
      <w:r w:rsidR="002B08CB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% вказали, що більшість викладачів мають належний рівень, але це може означати наявність окремих викладачів, у яких є потенціал до вдосконалення. Жодного випадку низької оцінки не зафіксовано.</w:t>
      </w:r>
    </w:p>
    <w:p w14:paraId="5E3183E4" w14:textId="6FA03D8B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2. Дотримання розкладу занять</w:t>
      </w:r>
    </w:p>
    <w:p w14:paraId="5FD23F10" w14:textId="62517D41" w:rsidR="00F115DA" w:rsidRDefault="00F115DA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3DC44134" wp14:editId="0C8FF303">
            <wp:extent cx="2760453" cy="1708936"/>
            <wp:effectExtent l="0" t="0" r="1905" b="5715"/>
            <wp:docPr id="2042475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35" cy="1712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982AC" w14:textId="0A691108" w:rsidR="002B08CB" w:rsidRPr="002B08CB" w:rsidRDefault="00D103CF" w:rsidP="00D103CF">
      <w:pPr>
        <w:ind w:firstLine="567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о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світній процес відбувається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організовано та згідно з розкладом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. Лише в поодиноких випадках були незначні зміщення чи затримки</w:t>
      </w:r>
      <w:r w:rsidR="002B08CB" w:rsidRPr="002B08CB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04B23FD" w14:textId="738A3F41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3. Комунікація зі студентами</w:t>
      </w:r>
    </w:p>
    <w:p w14:paraId="2C5FA2D7" w14:textId="3DADFAC9" w:rsidR="00F115DA" w:rsidRDefault="00F115DA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567AD772" wp14:editId="3D2D43D4">
            <wp:extent cx="2984740" cy="1846040"/>
            <wp:effectExtent l="0" t="0" r="6350" b="1905"/>
            <wp:docPr id="39767998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21" cy="185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19BC" w14:textId="3F03D83C" w:rsidR="002B08CB" w:rsidRPr="002B08CB" w:rsidRDefault="00D103CF" w:rsidP="00D103CF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115DA">
        <w:rPr>
          <w:rFonts w:eastAsia="Times New Roman"/>
          <w:kern w:val="0"/>
          <w:sz w:val="28"/>
          <w:szCs w:val="28"/>
          <w:lang w:eastAsia="uk-UA"/>
          <w14:ligatures w14:val="none"/>
        </w:rPr>
        <w:t>100%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студентів вважають викладачів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відкритими до спілкування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, зрозумілими та доброзичливими у контакті</w:t>
      </w:r>
    </w:p>
    <w:p w14:paraId="4B7BF838" w14:textId="1B4DC37C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4. Форми </w:t>
      </w:r>
      <w:proofErr w:type="spellStart"/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позааудиторного</w:t>
      </w:r>
      <w:proofErr w:type="spellEnd"/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контакту</w:t>
      </w:r>
    </w:p>
    <w:p w14:paraId="3844DD9A" w14:textId="77777777" w:rsidR="00F115DA" w:rsidRDefault="00F115DA" w:rsidP="000779B2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1D8AF1FA" wp14:editId="1383AA69">
            <wp:extent cx="2260121" cy="1397869"/>
            <wp:effectExtent l="0" t="0" r="6985" b="0"/>
            <wp:docPr id="211492725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42" cy="14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2B91" w14:textId="59867A38" w:rsidR="002B08CB" w:rsidRPr="002B08CB" w:rsidRDefault="00D103CF" w:rsidP="00D103CF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115DA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88%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студент</w:t>
      </w:r>
      <w:r w:rsidR="00F115DA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ів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мають доступ до викладачів поза заняттями через </w:t>
      </w:r>
      <w:proofErr w:type="spellStart"/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Viber</w:t>
      </w:r>
      <w:proofErr w:type="spellEnd"/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, що є зручним, швидким і доступним способом спілкування</w:t>
      </w:r>
      <w:r w:rsidR="002B08CB" w:rsidRPr="002B08CB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6F88BA29" w14:textId="0AD45BAB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5. Доступність індивідуальних консультацій</w:t>
      </w:r>
    </w:p>
    <w:p w14:paraId="23C36A29" w14:textId="73A46DDD" w:rsidR="00F115DA" w:rsidRDefault="00F115DA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inline distT="0" distB="0" distL="0" distR="0" wp14:anchorId="0617AFA0" wp14:editId="07DF105E">
            <wp:extent cx="2674189" cy="1653967"/>
            <wp:effectExtent l="0" t="0" r="0" b="3810"/>
            <wp:docPr id="107605717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47" cy="165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62E14" w14:textId="77777777" w:rsidR="00F115DA" w:rsidRDefault="00F115DA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1CAC924" w14:textId="0B31BC9E" w:rsidR="002B08CB" w:rsidRPr="002B08CB" w:rsidRDefault="00D103CF" w:rsidP="00D103CF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100% студентів мають можливість отримати індивідуальні консультації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, хоча не всі мають постійний або заздалегідь відомий графік. Варто систематизувати цей процес для зручності.</w:t>
      </w:r>
    </w:p>
    <w:p w14:paraId="6ABE4A42" w14:textId="1E88A0CB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6. Актуальність </w:t>
      </w:r>
      <w:proofErr w:type="spellStart"/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методик</w:t>
      </w:r>
      <w:proofErr w:type="spellEnd"/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викладання</w:t>
      </w:r>
    </w:p>
    <w:p w14:paraId="5F1C8E39" w14:textId="08689158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CDB9F13" wp14:editId="61EC3F82">
            <wp:extent cx="3135216" cy="1940943"/>
            <wp:effectExtent l="0" t="0" r="8255" b="2540"/>
            <wp:docPr id="17958553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87" cy="196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59B6D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B9FAF56" w14:textId="5772E952" w:rsidR="002B08CB" w:rsidRPr="002B08CB" w:rsidRDefault="00D103CF" w:rsidP="00D103CF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в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икладачі застосовують </w:t>
      </w:r>
      <w:r w:rsidR="002B08CB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цікаві та сучасні методики викладання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проте частина студентів бажає більшої різноманітності, </w:t>
      </w:r>
      <w:proofErr w:type="spellStart"/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інтерактиву</w:t>
      </w:r>
      <w:proofErr w:type="spellEnd"/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та використання прикладних інструментів.</w:t>
      </w:r>
    </w:p>
    <w:p w14:paraId="66A9F9BC" w14:textId="6DDE02E4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7. Ставлення до оновлення навчального матеріалу</w:t>
      </w:r>
    </w:p>
    <w:p w14:paraId="6125BA6A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5F8FE350" wp14:editId="16CA174A">
            <wp:extent cx="3666226" cy="2265967"/>
            <wp:effectExtent l="0" t="0" r="0" b="1270"/>
            <wp:docPr id="16734920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322" cy="22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5DF6" w14:textId="3CD80F63" w:rsidR="002B08CB" w:rsidRPr="002B08CB" w:rsidRDefault="00D103CF" w:rsidP="00D103CF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>б</w:t>
      </w:r>
      <w:r w:rsidR="002B08CB"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ільшість викладачів оновлюють навчальний матеріал, 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однак у деяких дисциплінах студентам бракує сучасного контенту у програмі (не лише в усній подачі, а й у презентаціях, підручниках тощо).</w:t>
      </w:r>
    </w:p>
    <w:p w14:paraId="0062B613" w14:textId="1E259B8B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8. Готовність до дистанційного навчання</w:t>
      </w:r>
    </w:p>
    <w:p w14:paraId="1342902C" w14:textId="1A683E45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A10FDF7" wp14:editId="1DD4683A">
            <wp:simplePos x="0" y="0"/>
            <wp:positionH relativeFrom="column">
              <wp:posOffset>-45037</wp:posOffset>
            </wp:positionH>
            <wp:positionV relativeFrom="paragraph">
              <wp:posOffset>152987</wp:posOffset>
            </wp:positionV>
            <wp:extent cx="4830792" cy="2987810"/>
            <wp:effectExtent l="0" t="0" r="8255" b="3175"/>
            <wp:wrapTight wrapText="bothSides">
              <wp:wrapPolygon edited="0">
                <wp:start x="0" y="0"/>
                <wp:lineTo x="0" y="21485"/>
                <wp:lineTo x="21552" y="21485"/>
                <wp:lineTo x="21552" y="0"/>
                <wp:lineTo x="0" y="0"/>
              </wp:wrapPolygon>
            </wp:wrapTight>
            <wp:docPr id="38533048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792" cy="298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BBF0B5" w14:textId="6AA241E3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E5F82F5" w14:textId="4C3DBD29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B7DF797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788C070" w14:textId="7BE28836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718F45F" w14:textId="0E597EF5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2CE8854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3602C03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234D0AE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5013495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A53E76A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1701564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DF4A6A5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66D682E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5035101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DF038AA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E9D3891" w14:textId="77777777" w:rsidR="00EA1CE1" w:rsidRDefault="00EA1CE1" w:rsidP="000779B2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9B6182F" w14:textId="5D70831A" w:rsidR="002B08CB" w:rsidRDefault="00D103CF" w:rsidP="00D103CF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103C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 про те, що 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икладачі володіють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високим рівнем цифрової компетентності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, використовують інструменти дистанційного навчання ефективно та впевнено.</w:t>
      </w:r>
    </w:p>
    <w:p w14:paraId="0B4F02B1" w14:textId="77777777" w:rsidR="00EA1CE1" w:rsidRPr="002B08CB" w:rsidRDefault="00EA1CE1" w:rsidP="000779B2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B37E299" w14:textId="3F578457" w:rsidR="002B08CB" w:rsidRPr="002B08CB" w:rsidRDefault="002B08CB" w:rsidP="00A60CDF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9. Ставлення до викладачів (</w:t>
      </w:r>
      <w:proofErr w:type="spellStart"/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емоційно</w:t>
      </w:r>
      <w:proofErr w:type="spellEnd"/>
      <w:r w:rsidRPr="002B08CB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-особистісний критерій)</w:t>
      </w:r>
    </w:p>
    <w:p w14:paraId="79FCCF6F" w14:textId="77777777" w:rsidR="002B08CB" w:rsidRPr="002B08CB" w:rsidRDefault="002B08CB" w:rsidP="00D103CF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Кого студенти хочуть бачити викладачем для своїх дітей у майбутньому:</w:t>
      </w:r>
    </w:p>
    <w:p w14:paraId="72AEDCF1" w14:textId="658F3392" w:rsidR="002B08CB" w:rsidRPr="002B08CB" w:rsidRDefault="002B08CB" w:rsidP="00D103CF">
      <w:pPr>
        <w:numPr>
          <w:ilvl w:val="0"/>
          <w:numId w:val="33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Найчастіше згадувані: </w:t>
      </w:r>
      <w:proofErr w:type="spellStart"/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Чикалова</w:t>
      </w:r>
      <w:proofErr w:type="spellEnd"/>
      <w:r w:rsidR="000779B2" w:rsidRPr="000779B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Н.В.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EA1CE1">
        <w:rPr>
          <w:rFonts w:eastAsia="Times New Roman"/>
          <w:kern w:val="0"/>
          <w:sz w:val="28"/>
          <w:szCs w:val="28"/>
          <w:lang w:eastAsia="uk-UA"/>
          <w14:ligatures w14:val="none"/>
        </w:rPr>
        <w:t>Прогонна Л.С.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Когут</w:t>
      </w:r>
      <w:r w:rsidR="000779B2" w:rsidRPr="000779B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А.А</w:t>
      </w:r>
      <w:r w:rsidR="00EA1CE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EA1CE1">
        <w:rPr>
          <w:rFonts w:eastAsia="Times New Roman"/>
          <w:kern w:val="0"/>
          <w:sz w:val="28"/>
          <w:szCs w:val="28"/>
          <w:lang w:eastAsia="uk-UA"/>
          <w14:ligatures w14:val="none"/>
        </w:rPr>
        <w:t>Рудиченко</w:t>
      </w:r>
      <w:proofErr w:type="spellEnd"/>
      <w:r w:rsidR="00EA1CE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EA1CE1">
        <w:rPr>
          <w:rFonts w:eastAsia="Times New Roman"/>
          <w:kern w:val="0"/>
          <w:sz w:val="28"/>
          <w:szCs w:val="28"/>
          <w:lang w:eastAsia="uk-UA"/>
          <w14:ligatures w14:val="none"/>
        </w:rPr>
        <w:t>З.Ш.,Даценко</w:t>
      </w:r>
      <w:proofErr w:type="spellEnd"/>
      <w:r w:rsidR="00EA1CE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С.П. 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395F0110" w14:textId="77777777" w:rsidR="002B08CB" w:rsidRPr="002B08CB" w:rsidRDefault="002B08CB" w:rsidP="00312EBE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Частина респондентів зазначили: </w:t>
      </w:r>
      <w:r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«усі викладачі заслуговують» або «всі гарно викладають»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— свідчення загальної задоволеності колективом</w:t>
      </w:r>
      <w:r w:rsidRPr="002B08CB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0CB891DE" w14:textId="3CD3A101" w:rsidR="002B08CB" w:rsidRPr="002B08CB" w:rsidRDefault="00D103CF" w:rsidP="000779B2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10.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Кого не хотіли б бачити викладачем:</w:t>
      </w:r>
    </w:p>
    <w:p w14:paraId="3A6C46BD" w14:textId="64B07C8E" w:rsidR="002B08CB" w:rsidRPr="002B08CB" w:rsidRDefault="00EA1CE1" w:rsidP="00312EBE">
      <w:pPr>
        <w:numPr>
          <w:ilvl w:val="0"/>
          <w:numId w:val="34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Відповіді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2B08CB"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«таких немає», «усі викладачі гідні»</w:t>
      </w:r>
      <w:r w:rsidR="002B08CB"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66E2A5A9" w14:textId="24794F6E" w:rsidR="002B08CB" w:rsidRPr="002B08CB" w:rsidRDefault="002B08CB" w:rsidP="00A60CDF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Колектив викладачів сприймається </w:t>
      </w:r>
      <w:r w:rsidRPr="002B08C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позитивно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, а згадані прізвища в негативному контексті можуть свідчити про потребу в індивідуальному зворотному зв’язку чи уточненні причин.</w:t>
      </w:r>
    </w:p>
    <w:p w14:paraId="0A81D0CD" w14:textId="77777777" w:rsidR="00D103CF" w:rsidRDefault="00D103CF" w:rsidP="000779B2">
      <w:pPr>
        <w:jc w:val="both"/>
        <w:outlineLvl w:val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438EE50" w14:textId="5D6DD534" w:rsidR="002B08CB" w:rsidRPr="002B08CB" w:rsidRDefault="002B08CB" w:rsidP="000779B2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Освітній процес за ОПП «Підприємництво, торгівля та біржова діяльність» забезпечується</w:t>
      </w:r>
      <w:r w:rsidRPr="002B08CB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>компетентними,  відкритими до співпраці викладачами.</w:t>
      </w:r>
      <w:r w:rsidR="000779B2" w:rsidRPr="000779B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15AD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Освітній процес </w:t>
      </w:r>
      <w:r w:rsidRPr="002B08C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проводиться відповідно до розкладу, з використанням актуального змісту та сучасних підходів.</w:t>
      </w:r>
      <w:r w:rsidR="00B15AD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10A070AB" w14:textId="0E24B824" w:rsidR="003D348F" w:rsidRDefault="003D348F" w:rsidP="00E21955">
      <w:pPr>
        <w:ind w:firstLine="709"/>
      </w:pPr>
    </w:p>
    <w:sectPr w:rsidR="003D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77E"/>
    <w:multiLevelType w:val="multilevel"/>
    <w:tmpl w:val="1FA42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680F"/>
    <w:multiLevelType w:val="multilevel"/>
    <w:tmpl w:val="9AA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027EF"/>
    <w:multiLevelType w:val="multilevel"/>
    <w:tmpl w:val="7588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019F"/>
    <w:multiLevelType w:val="hybridMultilevel"/>
    <w:tmpl w:val="8330405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351E"/>
    <w:multiLevelType w:val="multilevel"/>
    <w:tmpl w:val="FDB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6560"/>
    <w:multiLevelType w:val="multilevel"/>
    <w:tmpl w:val="AF1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4593A"/>
    <w:multiLevelType w:val="multilevel"/>
    <w:tmpl w:val="901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C016F"/>
    <w:multiLevelType w:val="multilevel"/>
    <w:tmpl w:val="791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F1A5F"/>
    <w:multiLevelType w:val="multilevel"/>
    <w:tmpl w:val="DF94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34882"/>
    <w:multiLevelType w:val="multilevel"/>
    <w:tmpl w:val="CF6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837B5"/>
    <w:multiLevelType w:val="multilevel"/>
    <w:tmpl w:val="C90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759F1"/>
    <w:multiLevelType w:val="multilevel"/>
    <w:tmpl w:val="90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3807"/>
    <w:multiLevelType w:val="multilevel"/>
    <w:tmpl w:val="643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01A0F"/>
    <w:multiLevelType w:val="multilevel"/>
    <w:tmpl w:val="AE4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64044"/>
    <w:multiLevelType w:val="multilevel"/>
    <w:tmpl w:val="762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B713E"/>
    <w:multiLevelType w:val="multilevel"/>
    <w:tmpl w:val="46F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776D4"/>
    <w:multiLevelType w:val="multilevel"/>
    <w:tmpl w:val="E51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03A62"/>
    <w:multiLevelType w:val="multilevel"/>
    <w:tmpl w:val="283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16C33"/>
    <w:multiLevelType w:val="multilevel"/>
    <w:tmpl w:val="5BE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D5709"/>
    <w:multiLevelType w:val="multilevel"/>
    <w:tmpl w:val="8F0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03689"/>
    <w:multiLevelType w:val="multilevel"/>
    <w:tmpl w:val="A7A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D2622"/>
    <w:multiLevelType w:val="multilevel"/>
    <w:tmpl w:val="500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C327D"/>
    <w:multiLevelType w:val="multilevel"/>
    <w:tmpl w:val="669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6359B3"/>
    <w:multiLevelType w:val="hybridMultilevel"/>
    <w:tmpl w:val="45123C4C"/>
    <w:lvl w:ilvl="0" w:tplc="923233B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37028D"/>
    <w:multiLevelType w:val="multilevel"/>
    <w:tmpl w:val="F22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76F3"/>
    <w:multiLevelType w:val="multilevel"/>
    <w:tmpl w:val="32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A471E"/>
    <w:multiLevelType w:val="multilevel"/>
    <w:tmpl w:val="001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C45A8E"/>
    <w:multiLevelType w:val="multilevel"/>
    <w:tmpl w:val="60CA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529F8"/>
    <w:multiLevelType w:val="multilevel"/>
    <w:tmpl w:val="87E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F1C35"/>
    <w:multiLevelType w:val="multilevel"/>
    <w:tmpl w:val="C33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50F54"/>
    <w:multiLevelType w:val="multilevel"/>
    <w:tmpl w:val="7DF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A5DA0"/>
    <w:multiLevelType w:val="multilevel"/>
    <w:tmpl w:val="1BE8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63844"/>
    <w:multiLevelType w:val="multilevel"/>
    <w:tmpl w:val="9D0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F5F61"/>
    <w:multiLevelType w:val="multilevel"/>
    <w:tmpl w:val="B79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1065F"/>
    <w:multiLevelType w:val="multilevel"/>
    <w:tmpl w:val="1990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65752"/>
    <w:multiLevelType w:val="multilevel"/>
    <w:tmpl w:val="80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E6B3C"/>
    <w:multiLevelType w:val="multilevel"/>
    <w:tmpl w:val="714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F0096"/>
    <w:multiLevelType w:val="multilevel"/>
    <w:tmpl w:val="673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80840">
    <w:abstractNumId w:val="0"/>
  </w:num>
  <w:num w:numId="2" w16cid:durableId="278293306">
    <w:abstractNumId w:val="26"/>
  </w:num>
  <w:num w:numId="3" w16cid:durableId="1938128736">
    <w:abstractNumId w:val="4"/>
  </w:num>
  <w:num w:numId="4" w16cid:durableId="108202472">
    <w:abstractNumId w:val="31"/>
  </w:num>
  <w:num w:numId="5" w16cid:durableId="762147570">
    <w:abstractNumId w:val="19"/>
  </w:num>
  <w:num w:numId="6" w16cid:durableId="1327199683">
    <w:abstractNumId w:val="16"/>
  </w:num>
  <w:num w:numId="7" w16cid:durableId="507789010">
    <w:abstractNumId w:val="35"/>
  </w:num>
  <w:num w:numId="8" w16cid:durableId="1268540318">
    <w:abstractNumId w:val="29"/>
  </w:num>
  <w:num w:numId="9" w16cid:durableId="2017536727">
    <w:abstractNumId w:val="2"/>
  </w:num>
  <w:num w:numId="10" w16cid:durableId="39129897">
    <w:abstractNumId w:val="8"/>
  </w:num>
  <w:num w:numId="11" w16cid:durableId="1418866994">
    <w:abstractNumId w:val="24"/>
  </w:num>
  <w:num w:numId="12" w16cid:durableId="107550003">
    <w:abstractNumId w:val="17"/>
  </w:num>
  <w:num w:numId="13" w16cid:durableId="420217931">
    <w:abstractNumId w:val="33"/>
  </w:num>
  <w:num w:numId="14" w16cid:durableId="1393042997">
    <w:abstractNumId w:val="23"/>
  </w:num>
  <w:num w:numId="15" w16cid:durableId="249848722">
    <w:abstractNumId w:val="37"/>
  </w:num>
  <w:num w:numId="16" w16cid:durableId="1830054400">
    <w:abstractNumId w:val="1"/>
  </w:num>
  <w:num w:numId="17" w16cid:durableId="472648292">
    <w:abstractNumId w:val="20"/>
  </w:num>
  <w:num w:numId="18" w16cid:durableId="1551453675">
    <w:abstractNumId w:val="30"/>
  </w:num>
  <w:num w:numId="19" w16cid:durableId="626475273">
    <w:abstractNumId w:val="34"/>
  </w:num>
  <w:num w:numId="20" w16cid:durableId="50228356">
    <w:abstractNumId w:val="5"/>
  </w:num>
  <w:num w:numId="21" w16cid:durableId="1219321013">
    <w:abstractNumId w:val="10"/>
  </w:num>
  <w:num w:numId="22" w16cid:durableId="418909842">
    <w:abstractNumId w:val="25"/>
  </w:num>
  <w:num w:numId="23" w16cid:durableId="1354696297">
    <w:abstractNumId w:val="11"/>
  </w:num>
  <w:num w:numId="24" w16cid:durableId="2017925305">
    <w:abstractNumId w:val="7"/>
  </w:num>
  <w:num w:numId="25" w16cid:durableId="1680765387">
    <w:abstractNumId w:val="18"/>
  </w:num>
  <w:num w:numId="26" w16cid:durableId="865947837">
    <w:abstractNumId w:val="21"/>
  </w:num>
  <w:num w:numId="27" w16cid:durableId="507983578">
    <w:abstractNumId w:val="32"/>
  </w:num>
  <w:num w:numId="28" w16cid:durableId="745761126">
    <w:abstractNumId w:val="27"/>
  </w:num>
  <w:num w:numId="29" w16cid:durableId="1353726806">
    <w:abstractNumId w:val="28"/>
  </w:num>
  <w:num w:numId="30" w16cid:durableId="1820145014">
    <w:abstractNumId w:val="36"/>
  </w:num>
  <w:num w:numId="31" w16cid:durableId="1340885355">
    <w:abstractNumId w:val="12"/>
  </w:num>
  <w:num w:numId="32" w16cid:durableId="1886988612">
    <w:abstractNumId w:val="22"/>
  </w:num>
  <w:num w:numId="33" w16cid:durableId="1078361737">
    <w:abstractNumId w:val="6"/>
  </w:num>
  <w:num w:numId="34" w16cid:durableId="1058473756">
    <w:abstractNumId w:val="14"/>
  </w:num>
  <w:num w:numId="35" w16cid:durableId="711461455">
    <w:abstractNumId w:val="3"/>
  </w:num>
  <w:num w:numId="36" w16cid:durableId="1944722650">
    <w:abstractNumId w:val="13"/>
  </w:num>
  <w:num w:numId="37" w16cid:durableId="16852894">
    <w:abstractNumId w:val="9"/>
  </w:num>
  <w:num w:numId="38" w16cid:durableId="1020202544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86"/>
    <w:rsid w:val="00005B4E"/>
    <w:rsid w:val="00010238"/>
    <w:rsid w:val="000147E4"/>
    <w:rsid w:val="000779B2"/>
    <w:rsid w:val="000C78A8"/>
    <w:rsid w:val="001954E7"/>
    <w:rsid w:val="001A0F48"/>
    <w:rsid w:val="00242408"/>
    <w:rsid w:val="00257A05"/>
    <w:rsid w:val="002B08CB"/>
    <w:rsid w:val="00312EBE"/>
    <w:rsid w:val="00331A81"/>
    <w:rsid w:val="00356B37"/>
    <w:rsid w:val="003C1570"/>
    <w:rsid w:val="003D348F"/>
    <w:rsid w:val="00420861"/>
    <w:rsid w:val="00434086"/>
    <w:rsid w:val="0053263C"/>
    <w:rsid w:val="005856AC"/>
    <w:rsid w:val="005A7A94"/>
    <w:rsid w:val="00613FCC"/>
    <w:rsid w:val="006B6265"/>
    <w:rsid w:val="006C6C1E"/>
    <w:rsid w:val="00771A07"/>
    <w:rsid w:val="0078299D"/>
    <w:rsid w:val="0078639E"/>
    <w:rsid w:val="007E558B"/>
    <w:rsid w:val="008B311F"/>
    <w:rsid w:val="008C3257"/>
    <w:rsid w:val="008D4885"/>
    <w:rsid w:val="008D7427"/>
    <w:rsid w:val="008E6F5F"/>
    <w:rsid w:val="009002CA"/>
    <w:rsid w:val="00914757"/>
    <w:rsid w:val="0093510A"/>
    <w:rsid w:val="009C22EB"/>
    <w:rsid w:val="009C568C"/>
    <w:rsid w:val="00A16236"/>
    <w:rsid w:val="00A60CDF"/>
    <w:rsid w:val="00A8482D"/>
    <w:rsid w:val="00AC6DA3"/>
    <w:rsid w:val="00B15AD4"/>
    <w:rsid w:val="00BC0157"/>
    <w:rsid w:val="00BD2321"/>
    <w:rsid w:val="00C225CE"/>
    <w:rsid w:val="00C86693"/>
    <w:rsid w:val="00C934D2"/>
    <w:rsid w:val="00CA1D52"/>
    <w:rsid w:val="00CA225C"/>
    <w:rsid w:val="00CC7BDE"/>
    <w:rsid w:val="00D02DCD"/>
    <w:rsid w:val="00D103CF"/>
    <w:rsid w:val="00DD301A"/>
    <w:rsid w:val="00E21955"/>
    <w:rsid w:val="00E223FB"/>
    <w:rsid w:val="00E827E1"/>
    <w:rsid w:val="00EA1CE1"/>
    <w:rsid w:val="00EA2DA9"/>
    <w:rsid w:val="00ED2456"/>
    <w:rsid w:val="00F115DA"/>
    <w:rsid w:val="00F90CE6"/>
    <w:rsid w:val="00FA24AB"/>
    <w:rsid w:val="00FB245F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7C7"/>
  <w15:chartTrackingRefBased/>
  <w15:docId w15:val="{5BCB0366-3D5A-4483-A0B2-1572BC4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CA"/>
  </w:style>
  <w:style w:type="paragraph" w:styleId="1">
    <w:name w:val="heading 1"/>
    <w:basedOn w:val="a"/>
    <w:next w:val="a"/>
    <w:link w:val="10"/>
    <w:uiPriority w:val="9"/>
    <w:qFormat/>
    <w:rsid w:val="0043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08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A1D5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A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5529-7D20-4AA0-873C-269DC30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8</cp:revision>
  <cp:lastPrinted>2025-04-23T12:02:00Z</cp:lastPrinted>
  <dcterms:created xsi:type="dcterms:W3CDTF">2025-04-16T12:07:00Z</dcterms:created>
  <dcterms:modified xsi:type="dcterms:W3CDTF">2026-02-24T18:21:00Z</dcterms:modified>
</cp:coreProperties>
</file>