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21E0" w14:textId="77777777" w:rsidR="007D1571" w:rsidRPr="000D637A" w:rsidRDefault="007D1571" w:rsidP="007D1571">
      <w:pPr>
        <w:jc w:val="center"/>
        <w:rPr>
          <w:b/>
          <w:bCs/>
          <w:sz w:val="28"/>
          <w:szCs w:val="28"/>
        </w:rPr>
      </w:pPr>
      <w:bookmarkStart w:id="0" w:name="_Hlk190808425"/>
      <w:bookmarkStart w:id="1" w:name="_Hlk195212357"/>
      <w:r w:rsidRPr="000D637A">
        <w:rPr>
          <w:b/>
          <w:bCs/>
          <w:sz w:val="28"/>
          <w:szCs w:val="28"/>
        </w:rPr>
        <w:t>Звіт</w:t>
      </w:r>
    </w:p>
    <w:p w14:paraId="17EACB67" w14:textId="4736EDFD" w:rsidR="007D1571" w:rsidRDefault="007D1571" w:rsidP="007D1571">
      <w:pPr>
        <w:jc w:val="center"/>
        <w:rPr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</w:t>
      </w:r>
      <w:r w:rsidRPr="00D8018D">
        <w:rPr>
          <w:b/>
          <w:bCs/>
          <w:sz w:val="28"/>
          <w:szCs w:val="28"/>
        </w:rPr>
        <w:t>«</w:t>
      </w:r>
      <w:bookmarkStart w:id="2" w:name="_Hlk215088233"/>
      <w:r w:rsidRPr="00D8018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Підприємництво, торгівля та біржова діяльність</w:t>
      </w:r>
      <w:r w:rsidR="00D8018D">
        <w:rPr>
          <w:sz w:val="28"/>
          <w:szCs w:val="28"/>
        </w:rPr>
        <w:t>»</w:t>
      </w:r>
      <w:r w:rsidRPr="001D541E">
        <w:rPr>
          <w:sz w:val="28"/>
          <w:szCs w:val="28"/>
        </w:rPr>
        <w:t xml:space="preserve"> </w:t>
      </w:r>
    </w:p>
    <w:p w14:paraId="4E32B41B" w14:textId="77777777" w:rsidR="00D8018D" w:rsidRDefault="00D8018D" w:rsidP="007D1571">
      <w:pPr>
        <w:jc w:val="both"/>
        <w:rPr>
          <w:sz w:val="28"/>
          <w:szCs w:val="28"/>
        </w:rPr>
      </w:pPr>
    </w:p>
    <w:p w14:paraId="40B14D1D" w14:textId="2154D316" w:rsidR="007D1571" w:rsidRPr="00BD13E7" w:rsidRDefault="007D1571" w:rsidP="007D1571">
      <w:pPr>
        <w:jc w:val="both"/>
        <w:rPr>
          <w:color w:val="000000"/>
          <w:sz w:val="28"/>
          <w:szCs w:val="28"/>
        </w:rPr>
      </w:pPr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2"/>
      <w:r w:rsidRPr="001D541E">
        <w:rPr>
          <w:sz w:val="28"/>
          <w:szCs w:val="28"/>
        </w:rPr>
        <w:t>:«</w:t>
      </w:r>
      <w:r w:rsidRPr="00404321">
        <w:rPr>
          <w:rStyle w:val="ae"/>
          <w:b w:val="0"/>
          <w:bCs w:val="0"/>
          <w:sz w:val="28"/>
          <w:szCs w:val="28"/>
        </w:rPr>
        <w:t xml:space="preserve"> </w:t>
      </w:r>
      <w:r w:rsidRPr="00EF5E1E">
        <w:rPr>
          <w:rStyle w:val="ae"/>
          <w:b w:val="0"/>
          <w:bCs w:val="0"/>
          <w:sz w:val="28"/>
          <w:szCs w:val="28"/>
        </w:rPr>
        <w:t>Освітнє середовище та матеріальні ресурси</w:t>
      </w:r>
      <w:r>
        <w:rPr>
          <w:rStyle w:val="ae"/>
          <w:b w:val="0"/>
          <w:bCs w:val="0"/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6CE82946" w14:textId="77777777" w:rsidR="007D1571" w:rsidRPr="00404321" w:rsidRDefault="007D1571" w:rsidP="007D1571">
      <w:pPr>
        <w:pStyle w:val="af"/>
        <w:jc w:val="both"/>
        <w:rPr>
          <w:sz w:val="28"/>
          <w:szCs w:val="28"/>
          <w:lang w:val="ru-RU"/>
        </w:rPr>
      </w:pPr>
      <w:r w:rsidRPr="00F15410">
        <w:rPr>
          <w:sz w:val="28"/>
          <w:szCs w:val="28"/>
        </w:rPr>
        <w:t xml:space="preserve">Мета опитування: </w:t>
      </w:r>
    </w:p>
    <w:p w14:paraId="2184572C" w14:textId="77777777" w:rsidR="007D1571" w:rsidRPr="00EF5E1E" w:rsidRDefault="007D1571" w:rsidP="007D1571">
      <w:pPr>
        <w:pStyle w:val="af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оцінити ступінь комфорту та безпеки освітнього середовища, в якому здійснюється </w:t>
      </w:r>
      <w:r w:rsidRPr="007B098F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</w:t>
      </w: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процес;</w:t>
      </w:r>
    </w:p>
    <w:p w14:paraId="6D10E675" w14:textId="77777777" w:rsidR="007D1571" w:rsidRPr="00EF5E1E" w:rsidRDefault="007D1571" w:rsidP="007D1571">
      <w:pPr>
        <w:numPr>
          <w:ilvl w:val="0"/>
          <w:numId w:val="1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виявити рівень забезпеченості необхідними матеріальними ресурсами: обладнанням, меблями, бібліотечним фондом, засобами ІКТ, доступом до мережі Інтернет;</w:t>
      </w:r>
    </w:p>
    <w:p w14:paraId="3C660E8A" w14:textId="77777777" w:rsidR="007D1571" w:rsidRPr="00EF5E1E" w:rsidRDefault="007D1571" w:rsidP="007D157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отримати зворотний зв’язок від здобувачів освіти для аналізу сильних сторін і виявлення проблемних моментів у матеріально-технічному забезпеченні;</w:t>
      </w:r>
    </w:p>
    <w:p w14:paraId="32489DAC" w14:textId="77777777" w:rsidR="007D1571" w:rsidRPr="00EF5E1E" w:rsidRDefault="007D1571" w:rsidP="007D157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визначити можливі шляхи удосконалення освітнього простору та ресурсної бази відповідно до потреб здобувачів освіти;</w:t>
      </w:r>
    </w:p>
    <w:p w14:paraId="26D5ABA6" w14:textId="77777777" w:rsidR="007D1571" w:rsidRPr="00EF5E1E" w:rsidRDefault="007D1571" w:rsidP="007D1571">
      <w:pPr>
        <w:numPr>
          <w:ilvl w:val="0"/>
          <w:numId w:val="10"/>
        </w:numPr>
        <w:spacing w:before="100" w:before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забезпечити відповідність умов навчання вимогам академічної доброчесності, інклюзивності, інноваційності та сучасного підходу до організації освітнього процесу</w:t>
      </w:r>
      <w:r w:rsidRPr="00EF5E1E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E26C2D0" w14:textId="77777777" w:rsidR="007D1571" w:rsidRPr="00F15410" w:rsidRDefault="007D1571" w:rsidP="007D1571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00C98A7" w14:textId="77777777" w:rsidR="007D1571" w:rsidRDefault="007D1571" w:rsidP="007D1571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353E04E6" w14:textId="339CA0E0" w:rsidR="007D1571" w:rsidRDefault="007D1571" w:rsidP="007D1571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 w:rsidR="00791A47">
        <w:rPr>
          <w:sz w:val="28"/>
          <w:szCs w:val="28"/>
        </w:rPr>
        <w:t>другого</w:t>
      </w:r>
      <w:r>
        <w:rPr>
          <w:sz w:val="28"/>
          <w:szCs w:val="28"/>
        </w:rPr>
        <w:t xml:space="preserve">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Pr="00800CBE">
        <w:rPr>
          <w:rFonts w:eastAsia="Times New Roman"/>
          <w:kern w:val="0"/>
          <w:sz w:val="28"/>
          <w:szCs w:val="28"/>
          <w:lang w:eastAsia="uk-UA"/>
          <w14:ligatures w14:val="none"/>
        </w:rPr>
        <w:t>Підприємництво, торгівля та біржова діяльність</w:t>
      </w:r>
      <w:r>
        <w:rPr>
          <w:sz w:val="28"/>
          <w:szCs w:val="28"/>
        </w:rPr>
        <w:t xml:space="preserve">». </w:t>
      </w:r>
      <w:r w:rsidRPr="00F15410">
        <w:rPr>
          <w:sz w:val="28"/>
          <w:szCs w:val="28"/>
        </w:rPr>
        <w:t xml:space="preserve">В опитуванні взяли участь </w:t>
      </w:r>
      <w:r w:rsidRPr="007D1571">
        <w:rPr>
          <w:sz w:val="28"/>
          <w:szCs w:val="28"/>
        </w:rPr>
        <w:t>9 здобувачів освіти</w:t>
      </w:r>
      <w:bookmarkEnd w:id="0"/>
      <w:bookmarkEnd w:id="1"/>
      <w:r>
        <w:rPr>
          <w:sz w:val="28"/>
          <w:szCs w:val="28"/>
        </w:rPr>
        <w:t xml:space="preserve"> </w:t>
      </w:r>
    </w:p>
    <w:p w14:paraId="263588A9" w14:textId="199DDFA7" w:rsidR="00BA3891" w:rsidRPr="00C16978" w:rsidRDefault="00993C9F" w:rsidP="00BA3891">
      <w:p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299BC7" wp14:editId="0C457718">
            <wp:simplePos x="0" y="0"/>
            <wp:positionH relativeFrom="column">
              <wp:posOffset>977265</wp:posOffset>
            </wp:positionH>
            <wp:positionV relativeFrom="paragraph">
              <wp:posOffset>134620</wp:posOffset>
            </wp:positionV>
            <wp:extent cx="3345180" cy="2068830"/>
            <wp:effectExtent l="0" t="0" r="7620" b="7620"/>
            <wp:wrapTight wrapText="bothSides">
              <wp:wrapPolygon edited="0">
                <wp:start x="0" y="0"/>
                <wp:lineTo x="0" y="21481"/>
                <wp:lineTo x="21526" y="21481"/>
                <wp:lineTo x="2152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A1EFC" w14:textId="0D734154" w:rsidR="00800CBE" w:rsidRDefault="00800CBE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9DD1D07" w14:textId="1E6F4D86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0732736" w14:textId="794B9B4A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5809CFE" w14:textId="0A7AC232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6867049" w14:textId="502C2EA7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5E2C7AD" w14:textId="58AA44BB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257938C" w14:textId="4BB5968E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2B2678F" w14:textId="03439677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AA59CCA" w14:textId="6CEC3A4F" w:rsidR="007D1571" w:rsidRDefault="007D1571" w:rsidP="00800CB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1BED72A" w14:textId="093CA8EF" w:rsidR="007D1571" w:rsidRDefault="007D1571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переважна більшість студентів (77,8%) мають позитивні враження від закладу освіти та його інфраструктури й відчувають, що навчаються в сучасному освітньому середовищі. 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Ще 22,2% респондентів оцінили інфраструктуру скоріше позитивно, однак зазначили, що існує простір для вдосконалення. Важливо, що жоден студент не висловив негативної оцінки, що свідчить про загальну задоволеність умовами навчання</w:t>
      </w:r>
      <w:r w:rsidRPr="007D1571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297E1CA5" w14:textId="211E3CFD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1E1806" wp14:editId="21EECA37">
            <wp:simplePos x="0" y="0"/>
            <wp:positionH relativeFrom="margin">
              <wp:posOffset>603885</wp:posOffset>
            </wp:positionH>
            <wp:positionV relativeFrom="paragraph">
              <wp:posOffset>5715</wp:posOffset>
            </wp:positionV>
            <wp:extent cx="3688080" cy="2280920"/>
            <wp:effectExtent l="0" t="0" r="7620" b="5080"/>
            <wp:wrapTight wrapText="bothSides">
              <wp:wrapPolygon edited="0">
                <wp:start x="0" y="0"/>
                <wp:lineTo x="0" y="21468"/>
                <wp:lineTo x="21533" y="21468"/>
                <wp:lineTo x="21533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47D1C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21001C4" w14:textId="72A46084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0F17EA6" w14:textId="17A24732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D6081F4" w14:textId="7F36C973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68F2661" w14:textId="6AFA5866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EB6F37E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1959AFAC" w14:textId="5769E5B0" w:rsidR="007D1571" w:rsidRPr="00993C9F" w:rsidRDefault="007D1571" w:rsidP="00993C9F">
      <w:pPr>
        <w:pStyle w:val="a9"/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3C9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993C9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77,8% студентів вважають, що заклад освіти повністю забезпечений необхідним обладнанням та матеріалами для навчального процесу. Водночас 22,2% опитаних зазначили, що хоча загалом забезпечення є достатнім, існує потреба в його подальшому оновленні та вдосконаленні. Відсутність негативних відповідей підтверджує належний рівень матеріально-технічної бази</w:t>
      </w:r>
    </w:p>
    <w:p w14:paraId="315126D9" w14:textId="2BDBC4C7" w:rsidR="007D1571" w:rsidRDefault="007D1571" w:rsidP="00993C9F">
      <w:pPr>
        <w:spacing w:before="100" w:beforeAutospacing="1" w:after="100" w:afterAutospacing="1"/>
        <w:ind w:left="720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05901" wp14:editId="64EF8E59">
            <wp:simplePos x="0" y="0"/>
            <wp:positionH relativeFrom="column">
              <wp:posOffset>824865</wp:posOffset>
            </wp:positionH>
            <wp:positionV relativeFrom="paragraph">
              <wp:posOffset>8890</wp:posOffset>
            </wp:positionV>
            <wp:extent cx="3413760" cy="2111375"/>
            <wp:effectExtent l="0" t="0" r="0" b="3175"/>
            <wp:wrapTight wrapText="bothSides">
              <wp:wrapPolygon edited="0">
                <wp:start x="0" y="0"/>
                <wp:lineTo x="0" y="21438"/>
                <wp:lineTo x="21455" y="21438"/>
                <wp:lineTo x="21455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0BB6F" w14:textId="7A0A0F39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A49AA07" w14:textId="2D966AA5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9E6FD51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E8A863D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AFA2103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14C1C57" w14:textId="77777777" w:rsidR="007D1571" w:rsidRPr="00993C9F" w:rsidRDefault="007D1571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комфорту в закладі освіти є високим: 77,8% студентів повністю задоволені умовами перебування, організацією простору та загальною атмосферою. Ще 22,2% вказали на наявність окремих аспектів, які можна покращити, що демонструє конструктивне ставлення здобувачів освіти до розвитку освітнього середовища.</w:t>
      </w:r>
    </w:p>
    <w:p w14:paraId="30930222" w14:textId="5EB87D12" w:rsidR="007D1571" w:rsidRDefault="00993C9F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F6DC150" wp14:editId="209196A4">
            <wp:simplePos x="0" y="0"/>
            <wp:positionH relativeFrom="column">
              <wp:posOffset>946785</wp:posOffset>
            </wp:positionH>
            <wp:positionV relativeFrom="paragraph">
              <wp:posOffset>6350</wp:posOffset>
            </wp:positionV>
            <wp:extent cx="3337560" cy="2064837"/>
            <wp:effectExtent l="0" t="0" r="0" b="0"/>
            <wp:wrapTight wrapText="bothSides">
              <wp:wrapPolygon edited="0">
                <wp:start x="0" y="0"/>
                <wp:lineTo x="0" y="21328"/>
                <wp:lineTo x="21452" y="21328"/>
                <wp:lineTo x="21452" y="0"/>
                <wp:lineTo x="0" y="0"/>
              </wp:wrapPolygon>
            </wp:wrapTight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0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FBB607" w14:textId="650A7F0A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4CAC69B" w14:textId="77777777" w:rsid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FFCE658" w14:textId="77777777" w:rsidR="007D1571" w:rsidRPr="007D1571" w:rsidRDefault="007D1571" w:rsidP="007D1571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60DEC02" w14:textId="77777777" w:rsidR="00993C9F" w:rsidRPr="00993C9F" w:rsidRDefault="00993C9F" w:rsidP="00993C9F">
      <w:pPr>
        <w:spacing w:before="100" w:beforeAutospacing="1" w:after="100" w:afterAutospacing="1"/>
        <w:ind w:left="72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7AD5770" w14:textId="77777777" w:rsidR="00993C9F" w:rsidRPr="00993C9F" w:rsidRDefault="00993C9F" w:rsidP="00993C9F">
      <w:pPr>
        <w:spacing w:before="100" w:beforeAutospacing="1" w:after="100" w:afterAutospacing="1"/>
        <w:ind w:left="360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FE7F05A" w14:textId="730E121E" w:rsidR="007D1571" w:rsidRPr="00993C9F" w:rsidRDefault="007D1571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більшість студентів (66,7%) позитивно оцінюють доступність та зручність користування бібліотекою, відзначаючи достатню кількість необхідних підручників і навчальних матеріалів. Разом із тим 33,3% респондентів звернули увагу на відсутність окремих джерел, що може бути підставою для оновлення або розширення бібліотечного фонду.</w:t>
      </w:r>
    </w:p>
    <w:p w14:paraId="2A7BB327" w14:textId="7DD9EAE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2EB88F6" wp14:editId="28A36CCC">
            <wp:simplePos x="0" y="0"/>
            <wp:positionH relativeFrom="margin">
              <wp:posOffset>1452245</wp:posOffset>
            </wp:positionH>
            <wp:positionV relativeFrom="paragraph">
              <wp:posOffset>0</wp:posOffset>
            </wp:positionV>
            <wp:extent cx="2910840" cy="1800840"/>
            <wp:effectExtent l="0" t="0" r="3810" b="9525"/>
            <wp:wrapTight wrapText="bothSides">
              <wp:wrapPolygon edited="0">
                <wp:start x="0" y="0"/>
                <wp:lineTo x="0" y="21486"/>
                <wp:lineTo x="21487" y="21486"/>
                <wp:lineTo x="21487" y="0"/>
                <wp:lineTo x="0" y="0"/>
              </wp:wrapPolygon>
            </wp:wrapTight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4EAAD" w14:textId="16F5E188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A9C0437" w14:textId="33E3266F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4E7FB83" w14:textId="47A460CC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FCF3F66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7797263" w14:textId="17A3B10F" w:rsidR="00993C9F" w:rsidRPr="007D1571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FFC6FC1" w14:textId="4AA5E5AC" w:rsidR="007D1571" w:rsidRDefault="00993C9F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993C9F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EA4158A" wp14:editId="54505395">
            <wp:simplePos x="0" y="0"/>
            <wp:positionH relativeFrom="margin">
              <wp:align>center</wp:align>
            </wp:positionH>
            <wp:positionV relativeFrom="paragraph">
              <wp:posOffset>1436370</wp:posOffset>
            </wp:positionV>
            <wp:extent cx="2712720" cy="1677670"/>
            <wp:effectExtent l="0" t="0" r="0" b="0"/>
            <wp:wrapTight wrapText="bothSides">
              <wp:wrapPolygon edited="0">
                <wp:start x="0" y="0"/>
                <wp:lineTo x="0" y="21338"/>
                <wp:lineTo x="21388" y="21338"/>
                <wp:lineTo x="21388" y="0"/>
                <wp:lineTo x="0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571"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7D1571"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технічне забезпечення закладу освіти перебуває на високому рівні: 88,9% студентів позитивно оцінюють наявність сучасного обладнання (проєкторів, комп’ютерів, інтерактивних дошок) та його використання під час занять. Водночас 11,1% опитаних зауважили, що не всі викладачі активно застосовують наявні технічні можливості, що свідчить про потенціал для більш ефективного використання ресурсів</w:t>
      </w:r>
      <w:r w:rsidR="007D1571" w:rsidRPr="007D1571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3EEC634C" w14:textId="5FA150CE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F535F39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A260040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3B281F4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D2A2B25" w14:textId="77777777" w:rsidR="00993C9F" w:rsidRPr="007D1571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2582EC2" w14:textId="77777777" w:rsidR="007D1571" w:rsidRPr="00993C9F" w:rsidRDefault="007D1571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рівень забезпеченості аудиторій стільцями та столами є повністю достатнім, адже 100% студентів 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позитивно оцінили цей аспект. Це підтверджує належну організацію навчального простору та відсутність проблем із базовими умовами для проведення занять.</w:t>
      </w:r>
    </w:p>
    <w:p w14:paraId="7B8D803F" w14:textId="1EE42468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49FB72" wp14:editId="4E9F6772">
            <wp:simplePos x="0" y="0"/>
            <wp:positionH relativeFrom="page">
              <wp:posOffset>2209800</wp:posOffset>
            </wp:positionH>
            <wp:positionV relativeFrom="paragraph">
              <wp:posOffset>8890</wp:posOffset>
            </wp:positionV>
            <wp:extent cx="2987040" cy="1847850"/>
            <wp:effectExtent l="0" t="0" r="3810" b="0"/>
            <wp:wrapTight wrapText="bothSides">
              <wp:wrapPolygon edited="0">
                <wp:start x="0" y="0"/>
                <wp:lineTo x="0" y="21377"/>
                <wp:lineTo x="21490" y="21377"/>
                <wp:lineTo x="21490" y="0"/>
                <wp:lineTo x="0" y="0"/>
              </wp:wrapPolygon>
            </wp:wrapTight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C4A61" w14:textId="03F3111C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6BB7D5B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855CA01" w14:textId="77777777" w:rsidR="00993C9F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4D5305B" w14:textId="77777777" w:rsidR="00993C9F" w:rsidRPr="007D1571" w:rsidRDefault="00993C9F" w:rsidP="00993C9F">
      <w:pPr>
        <w:spacing w:before="100" w:beforeAutospacing="1" w:after="100" w:afterAutospacing="1"/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CADD474" w14:textId="77777777" w:rsidR="00993C9F" w:rsidRDefault="00993C9F" w:rsidP="00993C9F">
      <w:pPr>
        <w:spacing w:before="100" w:beforeAutospacing="1" w:after="100" w:afterAutospacing="1"/>
        <w:ind w:left="360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4C0694D4" w14:textId="6972AAE4" w:rsidR="007D1571" w:rsidRPr="00993C9F" w:rsidRDefault="007D1571" w:rsidP="00993C9F">
      <w:pPr>
        <w:pStyle w:val="a9"/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426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993C9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993C9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доступ до мережі Інтернет у закладі освіти оцінюється студентами досить високо: 4 студенти поставили 9 балів, 2 студенти – 8 балів, 3 студенти – 10 балів, що формує середній бал 9. Такий показник свідчить про стабільне з’єднання та якісний бездротовий доступ на території коледжу.</w:t>
      </w:r>
    </w:p>
    <w:p w14:paraId="33886661" w14:textId="177708D5" w:rsidR="007D1571" w:rsidRPr="007D1571" w:rsidRDefault="00D8018D" w:rsidP="00993C9F">
      <w:pPr>
        <w:numPr>
          <w:ilvl w:val="0"/>
          <w:numId w:val="35"/>
        </w:numPr>
        <w:tabs>
          <w:tab w:val="num" w:pos="360"/>
        </w:tabs>
        <w:spacing w:before="100" w:beforeAutospacing="1" w:after="100" w:afterAutospacing="1"/>
        <w:ind w:left="0"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Pr="00993C9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Ваші пропозиції щодо покращення матеріально-технічної бази коледжу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D1571"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7D1571"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студенти не висловили конкретних пропозицій щодо покращення матеріально-технічної бази, що може свідчити про загальну задоволеність наявним рівнем забезпечення або відсутність суттєвих проблем, які потребують негайного вирішення.</w:t>
      </w:r>
    </w:p>
    <w:p w14:paraId="7E20B791" w14:textId="78B8C4BE" w:rsidR="00D8018D" w:rsidRPr="00D8018D" w:rsidRDefault="00993C9F" w:rsidP="00D8018D">
      <w:pPr>
        <w:numPr>
          <w:ilvl w:val="0"/>
          <w:numId w:val="35"/>
        </w:numPr>
        <w:ind w:left="0"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8018D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«Чи задовольняє вас діюча в коледжі  система  дистанційного навчання?» </w:t>
      </w:r>
      <w:r w:rsidR="00D8018D"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="00D8018D"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здобувачі освіти не надали зауважень чи пропозицій щодо вдосконалення системи дистанційного навчання, що свідчить про їхню задоволеність чинною організацією онлайн-освітнього процесу.</w:t>
      </w:r>
    </w:p>
    <w:p w14:paraId="44384AAF" w14:textId="41454CD6" w:rsidR="007D1571" w:rsidRPr="007D1571" w:rsidRDefault="007D1571" w:rsidP="00D8018D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7D157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D157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загалом матеріально-технічна база, інфраструктура та організація освітнього простору відповідають потребам студентів, забезпечують комфортні умови навчання та створюють позитивне освітнє середовище, водночас залишаючи можливості для подальшого розвитку й модернізації</w:t>
      </w:r>
      <w:r w:rsidRPr="007D1571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1D9651C7" w14:textId="77777777" w:rsidR="00A01E7A" w:rsidRPr="00C82D96" w:rsidRDefault="00A01E7A" w:rsidP="00C82D96">
      <w:pPr>
        <w:spacing w:after="100" w:afterAutospacing="1" w:line="360" w:lineRule="auto"/>
        <w:jc w:val="both"/>
        <w:rPr>
          <w:rFonts w:eastAsia="Times New Roman"/>
          <w:b/>
          <w:bCs/>
          <w:kern w:val="0"/>
          <w:sz w:val="32"/>
          <w:szCs w:val="32"/>
          <w:lang w:eastAsia="uk-UA"/>
          <w14:ligatures w14:val="none"/>
        </w:rPr>
      </w:pPr>
    </w:p>
    <w:sectPr w:rsidR="00A01E7A" w:rsidRPr="00C8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09"/>
    <w:multiLevelType w:val="multilevel"/>
    <w:tmpl w:val="22A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0940"/>
    <w:multiLevelType w:val="multilevel"/>
    <w:tmpl w:val="0D7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0368"/>
    <w:multiLevelType w:val="multilevel"/>
    <w:tmpl w:val="95D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658E1"/>
    <w:multiLevelType w:val="multilevel"/>
    <w:tmpl w:val="E0C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66238"/>
    <w:multiLevelType w:val="multilevel"/>
    <w:tmpl w:val="975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F4CBC"/>
    <w:multiLevelType w:val="hybridMultilevel"/>
    <w:tmpl w:val="82BA9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797B"/>
    <w:multiLevelType w:val="multilevel"/>
    <w:tmpl w:val="66A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B790D"/>
    <w:multiLevelType w:val="multilevel"/>
    <w:tmpl w:val="769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F70C4"/>
    <w:multiLevelType w:val="multilevel"/>
    <w:tmpl w:val="9A1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A54B6"/>
    <w:multiLevelType w:val="multilevel"/>
    <w:tmpl w:val="378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5009C"/>
    <w:multiLevelType w:val="multilevel"/>
    <w:tmpl w:val="016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67A49"/>
    <w:multiLevelType w:val="multilevel"/>
    <w:tmpl w:val="3A9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43123"/>
    <w:multiLevelType w:val="multilevel"/>
    <w:tmpl w:val="B36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F3182"/>
    <w:multiLevelType w:val="multilevel"/>
    <w:tmpl w:val="16A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963A0"/>
    <w:multiLevelType w:val="multilevel"/>
    <w:tmpl w:val="8F1C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F2971"/>
    <w:multiLevelType w:val="multilevel"/>
    <w:tmpl w:val="386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72122"/>
    <w:multiLevelType w:val="multilevel"/>
    <w:tmpl w:val="86D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715B0"/>
    <w:multiLevelType w:val="multilevel"/>
    <w:tmpl w:val="5E2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4504C"/>
    <w:multiLevelType w:val="multilevel"/>
    <w:tmpl w:val="511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D7A44"/>
    <w:multiLevelType w:val="multilevel"/>
    <w:tmpl w:val="9B3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F23AB"/>
    <w:multiLevelType w:val="multilevel"/>
    <w:tmpl w:val="35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205CD"/>
    <w:multiLevelType w:val="multilevel"/>
    <w:tmpl w:val="585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529B9"/>
    <w:multiLevelType w:val="multilevel"/>
    <w:tmpl w:val="B25A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8287A"/>
    <w:multiLevelType w:val="multilevel"/>
    <w:tmpl w:val="FC7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35459"/>
    <w:multiLevelType w:val="multilevel"/>
    <w:tmpl w:val="3BD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E4476"/>
    <w:multiLevelType w:val="multilevel"/>
    <w:tmpl w:val="25C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A4CF0"/>
    <w:multiLevelType w:val="multilevel"/>
    <w:tmpl w:val="9A1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C55ED"/>
    <w:multiLevelType w:val="multilevel"/>
    <w:tmpl w:val="3F3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748B8"/>
    <w:multiLevelType w:val="multilevel"/>
    <w:tmpl w:val="7606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943EE"/>
    <w:multiLevelType w:val="multilevel"/>
    <w:tmpl w:val="074895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0377A"/>
    <w:multiLevelType w:val="multilevel"/>
    <w:tmpl w:val="1012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45CE5"/>
    <w:multiLevelType w:val="multilevel"/>
    <w:tmpl w:val="F09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5682E"/>
    <w:multiLevelType w:val="multilevel"/>
    <w:tmpl w:val="D56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40DB0"/>
    <w:multiLevelType w:val="multilevel"/>
    <w:tmpl w:val="7EA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F14F3"/>
    <w:multiLevelType w:val="multilevel"/>
    <w:tmpl w:val="BEE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4451">
    <w:abstractNumId w:val="25"/>
  </w:num>
  <w:num w:numId="2" w16cid:durableId="989869732">
    <w:abstractNumId w:val="3"/>
  </w:num>
  <w:num w:numId="3" w16cid:durableId="1075664811">
    <w:abstractNumId w:val="1"/>
  </w:num>
  <w:num w:numId="4" w16cid:durableId="1612515508">
    <w:abstractNumId w:val="15"/>
  </w:num>
  <w:num w:numId="5" w16cid:durableId="523327168">
    <w:abstractNumId w:val="0"/>
  </w:num>
  <w:num w:numId="6" w16cid:durableId="1202594643">
    <w:abstractNumId w:val="26"/>
  </w:num>
  <w:num w:numId="7" w16cid:durableId="93014879">
    <w:abstractNumId w:val="10"/>
  </w:num>
  <w:num w:numId="8" w16cid:durableId="79302834">
    <w:abstractNumId w:val="21"/>
  </w:num>
  <w:num w:numId="9" w16cid:durableId="571354366">
    <w:abstractNumId w:val="28"/>
  </w:num>
  <w:num w:numId="10" w16cid:durableId="926428949">
    <w:abstractNumId w:val="8"/>
  </w:num>
  <w:num w:numId="11" w16cid:durableId="1399397456">
    <w:abstractNumId w:val="32"/>
  </w:num>
  <w:num w:numId="12" w16cid:durableId="1506826608">
    <w:abstractNumId w:val="6"/>
  </w:num>
  <w:num w:numId="13" w16cid:durableId="489832404">
    <w:abstractNumId w:val="19"/>
  </w:num>
  <w:num w:numId="14" w16cid:durableId="423695956">
    <w:abstractNumId w:val="7"/>
  </w:num>
  <w:num w:numId="15" w16cid:durableId="1105542083">
    <w:abstractNumId w:val="16"/>
  </w:num>
  <w:num w:numId="16" w16cid:durableId="1517694642">
    <w:abstractNumId w:val="20"/>
  </w:num>
  <w:num w:numId="17" w16cid:durableId="1448154808">
    <w:abstractNumId w:val="31"/>
  </w:num>
  <w:num w:numId="18" w16cid:durableId="1904173902">
    <w:abstractNumId w:val="24"/>
  </w:num>
  <w:num w:numId="19" w16cid:durableId="884177798">
    <w:abstractNumId w:val="13"/>
  </w:num>
  <w:num w:numId="20" w16cid:durableId="2009861628">
    <w:abstractNumId w:val="27"/>
  </w:num>
  <w:num w:numId="21" w16cid:durableId="507642370">
    <w:abstractNumId w:val="33"/>
  </w:num>
  <w:num w:numId="22" w16cid:durableId="1061559980">
    <w:abstractNumId w:val="22"/>
  </w:num>
  <w:num w:numId="23" w16cid:durableId="1271354211">
    <w:abstractNumId w:val="12"/>
  </w:num>
  <w:num w:numId="24" w16cid:durableId="1680233204">
    <w:abstractNumId w:val="11"/>
  </w:num>
  <w:num w:numId="25" w16cid:durableId="767235467">
    <w:abstractNumId w:val="23"/>
  </w:num>
  <w:num w:numId="26" w16cid:durableId="948896067">
    <w:abstractNumId w:val="5"/>
  </w:num>
  <w:num w:numId="27" w16cid:durableId="1138495840">
    <w:abstractNumId w:val="34"/>
  </w:num>
  <w:num w:numId="28" w16cid:durableId="1252818456">
    <w:abstractNumId w:val="18"/>
  </w:num>
  <w:num w:numId="29" w16cid:durableId="842204804">
    <w:abstractNumId w:val="14"/>
  </w:num>
  <w:num w:numId="30" w16cid:durableId="444079832">
    <w:abstractNumId w:val="9"/>
  </w:num>
  <w:num w:numId="31" w16cid:durableId="38169706">
    <w:abstractNumId w:val="2"/>
  </w:num>
  <w:num w:numId="32" w16cid:durableId="1839230534">
    <w:abstractNumId w:val="30"/>
  </w:num>
  <w:num w:numId="33" w16cid:durableId="2071926521">
    <w:abstractNumId w:val="17"/>
  </w:num>
  <w:num w:numId="34" w16cid:durableId="919558742">
    <w:abstractNumId w:val="4"/>
  </w:num>
  <w:num w:numId="35" w16cid:durableId="7618010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9"/>
    <w:rsid w:val="000045C9"/>
    <w:rsid w:val="000F2245"/>
    <w:rsid w:val="00120FDB"/>
    <w:rsid w:val="00146139"/>
    <w:rsid w:val="00171BB7"/>
    <w:rsid w:val="00173DF0"/>
    <w:rsid w:val="002A2A39"/>
    <w:rsid w:val="0035460D"/>
    <w:rsid w:val="00497C8B"/>
    <w:rsid w:val="00516ED9"/>
    <w:rsid w:val="0053263C"/>
    <w:rsid w:val="00541E04"/>
    <w:rsid w:val="005555A9"/>
    <w:rsid w:val="00555866"/>
    <w:rsid w:val="005A23E1"/>
    <w:rsid w:val="005A7A94"/>
    <w:rsid w:val="005B01FC"/>
    <w:rsid w:val="00613FCC"/>
    <w:rsid w:val="0064308A"/>
    <w:rsid w:val="00702770"/>
    <w:rsid w:val="00766AB6"/>
    <w:rsid w:val="00791A47"/>
    <w:rsid w:val="007B098F"/>
    <w:rsid w:val="007D00E7"/>
    <w:rsid w:val="007D1571"/>
    <w:rsid w:val="007E558B"/>
    <w:rsid w:val="007F4A6E"/>
    <w:rsid w:val="00800CBE"/>
    <w:rsid w:val="0083440F"/>
    <w:rsid w:val="008367EB"/>
    <w:rsid w:val="00874C50"/>
    <w:rsid w:val="008B47E1"/>
    <w:rsid w:val="008D7427"/>
    <w:rsid w:val="009002CA"/>
    <w:rsid w:val="009078C2"/>
    <w:rsid w:val="00907A60"/>
    <w:rsid w:val="00923398"/>
    <w:rsid w:val="0093510A"/>
    <w:rsid w:val="00993C9F"/>
    <w:rsid w:val="009A24DA"/>
    <w:rsid w:val="009A48F8"/>
    <w:rsid w:val="009C22EB"/>
    <w:rsid w:val="009F1102"/>
    <w:rsid w:val="00A01E7A"/>
    <w:rsid w:val="00A86C10"/>
    <w:rsid w:val="00AB737A"/>
    <w:rsid w:val="00AF15CD"/>
    <w:rsid w:val="00BA3891"/>
    <w:rsid w:val="00C16978"/>
    <w:rsid w:val="00C31390"/>
    <w:rsid w:val="00C82D96"/>
    <w:rsid w:val="00C934D2"/>
    <w:rsid w:val="00CA0D44"/>
    <w:rsid w:val="00CA225C"/>
    <w:rsid w:val="00CB198C"/>
    <w:rsid w:val="00CF0D61"/>
    <w:rsid w:val="00CF545C"/>
    <w:rsid w:val="00D4783C"/>
    <w:rsid w:val="00D56136"/>
    <w:rsid w:val="00D7628C"/>
    <w:rsid w:val="00D8018D"/>
    <w:rsid w:val="00DD301A"/>
    <w:rsid w:val="00DE4D69"/>
    <w:rsid w:val="00DF6F3C"/>
    <w:rsid w:val="00E1630B"/>
    <w:rsid w:val="00E247AD"/>
    <w:rsid w:val="00E33CFE"/>
    <w:rsid w:val="00E565FB"/>
    <w:rsid w:val="00E867C0"/>
    <w:rsid w:val="00EE6C05"/>
    <w:rsid w:val="00EF5E1E"/>
    <w:rsid w:val="00F13925"/>
    <w:rsid w:val="00F3437D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AF0"/>
  <w15:chartTrackingRefBased/>
  <w15:docId w15:val="{6488045E-4CE5-4119-B7D0-0C74E91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91"/>
  </w:style>
  <w:style w:type="paragraph" w:styleId="1">
    <w:name w:val="heading 1"/>
    <w:basedOn w:val="a"/>
    <w:next w:val="a"/>
    <w:link w:val="10"/>
    <w:uiPriority w:val="9"/>
    <w:qFormat/>
    <w:rsid w:val="005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6E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6E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E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E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E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E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E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E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E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D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D00E7"/>
    <w:rPr>
      <w:b/>
      <w:bCs/>
    </w:rPr>
  </w:style>
  <w:style w:type="paragraph" w:styleId="af">
    <w:name w:val="Normal (Web)"/>
    <w:basedOn w:val="a"/>
    <w:uiPriority w:val="99"/>
    <w:unhideWhenUsed/>
    <w:rsid w:val="00EF5E1E"/>
    <w:rPr>
      <w:sz w:val="24"/>
      <w:szCs w:val="24"/>
    </w:rPr>
  </w:style>
  <w:style w:type="table" w:styleId="af0">
    <w:name w:val="Table Grid"/>
    <w:basedOn w:val="a1"/>
    <w:uiPriority w:val="39"/>
    <w:rsid w:val="00BA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9</cp:revision>
  <cp:lastPrinted>2025-04-23T12:06:00Z</cp:lastPrinted>
  <dcterms:created xsi:type="dcterms:W3CDTF">2025-04-16T12:07:00Z</dcterms:created>
  <dcterms:modified xsi:type="dcterms:W3CDTF">2026-02-24T21:24:00Z</dcterms:modified>
</cp:coreProperties>
</file>